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ind w:leftChars="0"/>
        <w:jc w:val="center"/>
        <w:rPr>
          <w:highlight w:val="none"/>
        </w:rPr>
      </w:pPr>
      <w:bookmarkStart w:id="73" w:name="_GoBack"/>
      <w:bookmarkStart w:id="0" w:name="_Toc17324"/>
      <w:bookmarkStart w:id="1" w:name="_Toc18076"/>
      <w:r>
        <w:rPr>
          <w:rFonts w:hint="eastAsia"/>
          <w:highlight w:val="none"/>
        </w:rPr>
        <w:t>货物需求及技术要求</w:t>
      </w:r>
      <w:bookmarkEnd w:id="0"/>
      <w:bookmarkEnd w:id="1"/>
    </w:p>
    <w:bookmarkEnd w:id="73"/>
    <w:p>
      <w:pPr>
        <w:widowControl/>
        <w:spacing w:line="500" w:lineRule="exact"/>
        <w:ind w:firstLine="430"/>
        <w:jc w:val="left"/>
        <w:rPr>
          <w:rFonts w:ascii="宋体" w:hAnsi="宋体"/>
          <w:b/>
          <w:bCs/>
          <w:szCs w:val="21"/>
          <w:highlight w:val="none"/>
        </w:rPr>
      </w:pPr>
      <w:r>
        <w:rPr>
          <w:rFonts w:hint="eastAsia" w:ascii="宋体" w:hAnsi="宋体"/>
          <w:b/>
          <w:bCs/>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bookmarkStart w:id="2" w:name="_Toc24273"/>
    </w:p>
    <w:p>
      <w:pPr>
        <w:widowControl/>
        <w:spacing w:line="500" w:lineRule="exact"/>
        <w:ind w:firstLine="405"/>
        <w:jc w:val="left"/>
        <w:rPr>
          <w:rFonts w:ascii="宋体" w:hAnsi="宋体"/>
          <w:b/>
          <w:bCs/>
          <w:szCs w:val="21"/>
          <w:highlight w:val="none"/>
        </w:rPr>
      </w:pPr>
      <w:r>
        <w:rPr>
          <w:rFonts w:hint="eastAsia" w:ascii="宋体" w:hAnsi="宋体"/>
          <w:b/>
          <w:bCs/>
          <w:szCs w:val="21"/>
          <w:highlight w:val="none"/>
        </w:rPr>
        <w:t>1、在采购活动开始前没有获准采购进口产品而开展采购活动的，视同为拒绝采购进口产品。</w:t>
      </w:r>
    </w:p>
    <w:p>
      <w:pPr>
        <w:widowControl/>
        <w:spacing w:line="500" w:lineRule="exact"/>
        <w:ind w:firstLine="405"/>
        <w:jc w:val="left"/>
        <w:rPr>
          <w:rFonts w:ascii="宋体" w:hAnsi="宋体"/>
          <w:b/>
          <w:bCs/>
          <w:szCs w:val="21"/>
          <w:highlight w:val="none"/>
        </w:rPr>
      </w:pPr>
      <w:r>
        <w:rPr>
          <w:rFonts w:hint="eastAsia" w:ascii="宋体" w:hAnsi="宋体"/>
          <w:b/>
          <w:bCs/>
          <w:szCs w:val="21"/>
          <w:highlight w:val="none"/>
        </w:rPr>
        <w:t>2、根据“关于印发《政府采购进口产品管理办法》的通知”及“关于政府采购进口产品管理有关问题的通知”的相关规定：下列采购需求中如涉及进口产品则已履行相关论证手续。</w:t>
      </w:r>
    </w:p>
    <w:p>
      <w:pPr>
        <w:widowControl/>
        <w:spacing w:line="500" w:lineRule="exact"/>
        <w:ind w:firstLine="405"/>
        <w:jc w:val="left"/>
        <w:rPr>
          <w:rFonts w:ascii="宋体" w:hAnsi="宋体"/>
          <w:b/>
          <w:bCs/>
          <w:szCs w:val="21"/>
          <w:highlight w:val="none"/>
        </w:rPr>
      </w:pPr>
      <w:r>
        <w:rPr>
          <w:rFonts w:hint="eastAsia" w:ascii="宋体" w:hAnsi="宋体"/>
          <w:b/>
          <w:bCs/>
          <w:szCs w:val="21"/>
          <w:highlight w:val="none"/>
        </w:rPr>
        <w:t>3、中标人提供的货物为进口产品的，供货时须向采购人提供所投进口产品的海关报关单等证明材料。</w:t>
      </w:r>
    </w:p>
    <w:bookmarkEnd w:id="2"/>
    <w:p>
      <w:pPr>
        <w:pStyle w:val="4"/>
        <w:ind w:firstLine="470" w:firstLineChars="196"/>
        <w:rPr>
          <w:rFonts w:hAnsi="宋体"/>
          <w:b w:val="0"/>
          <w:bCs/>
          <w:color w:val="000000" w:themeColor="text1"/>
          <w:szCs w:val="24"/>
          <w:highlight w:val="none"/>
          <w14:textFill>
            <w14:solidFill>
              <w14:schemeClr w14:val="tx1"/>
            </w14:solidFill>
          </w14:textFill>
        </w:rPr>
      </w:pPr>
      <w:bookmarkStart w:id="3" w:name="_Toc8283"/>
      <w:r>
        <w:rPr>
          <w:rFonts w:hint="eastAsia"/>
          <w:b w:val="0"/>
          <w:color w:val="000000" w:themeColor="text1"/>
          <w:highlight w:val="none"/>
          <w14:textFill>
            <w14:solidFill>
              <w14:schemeClr w14:val="tx1"/>
            </w14:solidFill>
          </w14:textFill>
        </w:rPr>
        <w:t>一、</w:t>
      </w:r>
      <w:r>
        <w:rPr>
          <w:rFonts w:hint="eastAsia" w:hAnsi="宋体"/>
          <w:b w:val="0"/>
          <w:bCs/>
          <w:color w:val="000000" w:themeColor="text1"/>
          <w:szCs w:val="24"/>
          <w:highlight w:val="none"/>
          <w14:textFill>
            <w14:solidFill>
              <w14:schemeClr w14:val="tx1"/>
            </w14:solidFill>
          </w14:textFill>
        </w:rPr>
        <w:t>货物需求一览表</w:t>
      </w:r>
      <w:bookmarkEnd w:id="3"/>
    </w:p>
    <w:tbl>
      <w:tblPr>
        <w:tblStyle w:val="7"/>
        <w:tblW w:w="88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782"/>
        <w:gridCol w:w="3827"/>
        <w:gridCol w:w="851"/>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 w:val="18"/>
                <w:szCs w:val="18"/>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序号</w:t>
            </w:r>
          </w:p>
        </w:tc>
        <w:tc>
          <w:tcPr>
            <w:tcW w:w="1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 w:val="18"/>
                <w:szCs w:val="18"/>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货物名称</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 w:val="18"/>
                <w:szCs w:val="18"/>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招标技术参数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单位</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 w:val="18"/>
                <w:szCs w:val="18"/>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889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 w:val="24"/>
                <w:highlight w:val="none"/>
                <w14:textFill>
                  <w14:solidFill>
                    <w14:schemeClr w14:val="tx1"/>
                  </w14:solidFill>
                </w14:textFill>
              </w:rPr>
            </w:pPr>
            <w:r>
              <w:rPr>
                <w:rFonts w:hint="eastAsia" w:ascii="宋体" w:hAnsi="宋体" w:cs="Arial"/>
                <w:bCs/>
                <w:color w:val="000000" w:themeColor="text1"/>
                <w:kern w:val="0"/>
                <w:sz w:val="24"/>
                <w:highlight w:val="none"/>
                <w14:textFill>
                  <w14:solidFill>
                    <w14:schemeClr w14:val="tx1"/>
                  </w14:solidFill>
                </w14:textFill>
              </w:rPr>
              <w:t>分析仪表单元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7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五参数在线分析仪</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温度、PH、溶解氧、电导率、浊度，参照国家行业标准规范，详见仪表部分招标参数。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themeColor="text1"/>
                <w:kern w:val="0"/>
                <w:sz w:val="18"/>
                <w:szCs w:val="18"/>
                <w:highlight w:val="none"/>
                <w14:textFill>
                  <w14:solidFill>
                    <w14:schemeClr w14:val="tx1"/>
                  </w14:solidFill>
                </w14:textFill>
              </w:rPr>
            </w:pPr>
            <w:r>
              <w:rPr>
                <w:rFonts w:hint="eastAsia" w:ascii="Arial" w:hAnsi="Arial" w:cs="Arial"/>
                <w:color w:val="000000" w:themeColor="text1"/>
                <w:kern w:val="0"/>
                <w:sz w:val="18"/>
                <w:szCs w:val="18"/>
                <w:highlight w:val="none"/>
                <w14:textFill>
                  <w14:solidFill>
                    <w14:schemeClr w14:val="tx1"/>
                  </w14:solidFill>
                </w14:textFill>
              </w:rPr>
              <w:t>套</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kern w:val="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p>
        </w:tc>
        <w:tc>
          <w:tcPr>
            <w:tcW w:w="850" w:type="dxa"/>
            <w:tcBorders>
              <w:top w:val="single" w:color="auto" w:sz="4" w:space="0"/>
              <w:left w:val="single" w:color="auto" w:sz="4" w:space="0"/>
              <w:bottom w:val="single" w:color="auto" w:sz="4" w:space="0"/>
              <w:right w:val="single" w:color="auto" w:sz="4" w:space="0"/>
            </w:tcBorders>
            <w:vAlign w:val="center"/>
          </w:tcPr>
          <w:p>
            <w:pPr>
              <w:pStyle w:val="8"/>
              <w:jc w:val="left"/>
              <w:rPr>
                <w:rFonts w:ascii="Arial" w:hAnsi="Arial" w:cs="Arial"/>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17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氨氮在线分析仪</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参照国家行业标准规范，详见仪表部分招标参数。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themeColor="text1"/>
                <w:kern w:val="0"/>
                <w:sz w:val="18"/>
                <w:szCs w:val="18"/>
                <w:highlight w:val="none"/>
                <w14:textFill>
                  <w14:solidFill>
                    <w14:schemeClr w14:val="tx1"/>
                  </w14:solidFill>
                </w14:textFill>
              </w:rPr>
            </w:pPr>
            <w:r>
              <w:rPr>
                <w:rFonts w:hint="eastAsia" w:ascii="Arial" w:hAnsi="Arial" w:cs="Arial"/>
                <w:color w:val="000000" w:themeColor="text1"/>
                <w:kern w:val="0"/>
                <w:sz w:val="18"/>
                <w:szCs w:val="18"/>
                <w:highlight w:val="none"/>
                <w14:textFill>
                  <w14:solidFill>
                    <w14:schemeClr w14:val="tx1"/>
                  </w14:solidFill>
                </w14:textFill>
              </w:rPr>
              <w:t>套</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kern w:val="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p>
        </w:tc>
        <w:tc>
          <w:tcPr>
            <w:tcW w:w="850" w:type="dxa"/>
            <w:tcBorders>
              <w:top w:val="single" w:color="auto" w:sz="4" w:space="0"/>
              <w:left w:val="single" w:color="auto" w:sz="4" w:space="0"/>
              <w:bottom w:val="single" w:color="auto" w:sz="4" w:space="0"/>
              <w:right w:val="single" w:color="auto" w:sz="4" w:space="0"/>
            </w:tcBorders>
            <w:vAlign w:val="center"/>
          </w:tcPr>
          <w:p>
            <w:pPr>
              <w:pStyle w:val="8"/>
              <w:jc w:val="center"/>
              <w:rPr>
                <w:rFonts w:ascii="Arial" w:hAnsi="Arial" w:cs="Arial"/>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17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高锰酸盐指数自动分析仪</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参照国家行业标准规范，详见仪表部分招标参数。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themeColor="text1"/>
                <w:kern w:val="0"/>
                <w:sz w:val="18"/>
                <w:szCs w:val="18"/>
                <w:highlight w:val="none"/>
                <w14:textFill>
                  <w14:solidFill>
                    <w14:schemeClr w14:val="tx1"/>
                  </w14:solidFill>
                </w14:textFill>
              </w:rPr>
            </w:pPr>
            <w:r>
              <w:rPr>
                <w:rFonts w:hint="eastAsia" w:ascii="Arial" w:hAnsi="Arial" w:cs="Arial"/>
                <w:color w:val="000000" w:themeColor="text1"/>
                <w:kern w:val="0"/>
                <w:sz w:val="18"/>
                <w:szCs w:val="18"/>
                <w:highlight w:val="none"/>
                <w14:textFill>
                  <w14:solidFill>
                    <w14:schemeClr w14:val="tx1"/>
                  </w14:solidFill>
                </w14:textFill>
              </w:rPr>
              <w:t>套</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kern w:val="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p>
        </w:tc>
        <w:tc>
          <w:tcPr>
            <w:tcW w:w="850" w:type="dxa"/>
            <w:tcBorders>
              <w:top w:val="single" w:color="auto" w:sz="4" w:space="0"/>
              <w:left w:val="single" w:color="auto" w:sz="4" w:space="0"/>
              <w:bottom w:val="single" w:color="auto" w:sz="4" w:space="0"/>
              <w:right w:val="single" w:color="auto" w:sz="4" w:space="0"/>
            </w:tcBorders>
            <w:vAlign w:val="center"/>
          </w:tcPr>
          <w:p>
            <w:pPr>
              <w:pStyle w:val="8"/>
              <w:jc w:val="center"/>
              <w:rPr>
                <w:rFonts w:ascii="Arial" w:hAnsi="Arial" w:cs="Arial"/>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17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总磷自动分析仪</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参照国家行业标准规范，详见仪表部分招标参数。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themeColor="text1"/>
                <w:kern w:val="0"/>
                <w:sz w:val="18"/>
                <w:szCs w:val="18"/>
                <w:highlight w:val="none"/>
                <w14:textFill>
                  <w14:solidFill>
                    <w14:schemeClr w14:val="tx1"/>
                  </w14:solidFill>
                </w14:textFill>
              </w:rPr>
            </w:pPr>
            <w:r>
              <w:rPr>
                <w:rFonts w:hint="eastAsia" w:ascii="Arial" w:hAnsi="Arial" w:cs="Arial"/>
                <w:color w:val="000000" w:themeColor="text1"/>
                <w:kern w:val="0"/>
                <w:sz w:val="18"/>
                <w:szCs w:val="18"/>
                <w:highlight w:val="none"/>
                <w14:textFill>
                  <w14:solidFill>
                    <w14:schemeClr w14:val="tx1"/>
                  </w14:solidFill>
                </w14:textFill>
              </w:rPr>
              <w:t>套</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kern w:val="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p>
        </w:tc>
        <w:tc>
          <w:tcPr>
            <w:tcW w:w="850" w:type="dxa"/>
            <w:tcBorders>
              <w:top w:val="single" w:color="auto" w:sz="4" w:space="0"/>
              <w:left w:val="single" w:color="auto" w:sz="4" w:space="0"/>
              <w:bottom w:val="single" w:color="auto" w:sz="4" w:space="0"/>
              <w:right w:val="single" w:color="auto" w:sz="4" w:space="0"/>
            </w:tcBorders>
            <w:vAlign w:val="center"/>
          </w:tcPr>
          <w:p>
            <w:pPr>
              <w:pStyle w:val="8"/>
              <w:jc w:val="center"/>
              <w:rPr>
                <w:rFonts w:ascii="Arial" w:hAnsi="Arial" w:cs="Arial"/>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c>
          <w:tcPr>
            <w:tcW w:w="17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总氮自动分析仪</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Tahoma" w:hAnsi="Tahoma" w:cs="Tahom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参照国家行业标准规范，详见仪表部分招标参数。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themeColor="text1"/>
                <w:kern w:val="0"/>
                <w:sz w:val="18"/>
                <w:szCs w:val="18"/>
                <w:highlight w:val="none"/>
                <w14:textFill>
                  <w14:solidFill>
                    <w14:schemeClr w14:val="tx1"/>
                  </w14:solidFill>
                </w14:textFill>
              </w:rPr>
            </w:pPr>
            <w:r>
              <w:rPr>
                <w:rFonts w:hint="eastAsia" w:ascii="Arial" w:hAnsi="Arial" w:cs="Arial"/>
                <w:color w:val="000000" w:themeColor="text1"/>
                <w:kern w:val="0"/>
                <w:sz w:val="18"/>
                <w:szCs w:val="18"/>
                <w:highlight w:val="none"/>
                <w14:textFill>
                  <w14:solidFill>
                    <w14:schemeClr w14:val="tx1"/>
                  </w14:solidFill>
                </w14:textFill>
              </w:rPr>
              <w:t>套</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kern w:val="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p>
        </w:tc>
        <w:tc>
          <w:tcPr>
            <w:tcW w:w="850" w:type="dxa"/>
            <w:tcBorders>
              <w:top w:val="single" w:color="auto" w:sz="4" w:space="0"/>
              <w:left w:val="single" w:color="auto" w:sz="4" w:space="0"/>
              <w:bottom w:val="single" w:color="auto" w:sz="4" w:space="0"/>
              <w:right w:val="single" w:color="auto" w:sz="4" w:space="0"/>
            </w:tcBorders>
            <w:vAlign w:val="center"/>
          </w:tcPr>
          <w:p>
            <w:pPr>
              <w:pStyle w:val="8"/>
              <w:jc w:val="left"/>
              <w:rPr>
                <w:rFonts w:ascii="Arial" w:hAnsi="Arial" w:cs="Arial"/>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8896" w:type="dxa"/>
            <w:gridSpan w:val="6"/>
            <w:tcBorders>
              <w:top w:val="single" w:color="auto" w:sz="4" w:space="0"/>
              <w:left w:val="single" w:color="auto" w:sz="4" w:space="0"/>
              <w:bottom w:val="single" w:color="auto" w:sz="4" w:space="0"/>
              <w:right w:val="single" w:color="auto" w:sz="4" w:space="0"/>
            </w:tcBorders>
            <w:vAlign w:val="center"/>
          </w:tcPr>
          <w:p>
            <w:pPr>
              <w:pStyle w:val="8"/>
              <w:jc w:val="center"/>
              <w:rPr>
                <w:rFonts w:ascii="Arial" w:hAnsi="Arial" w:cs="Arial"/>
                <w:color w:val="000000" w:themeColor="text1"/>
                <w:kern w:val="0"/>
                <w:highlight w:val="none"/>
                <w14:textFill>
                  <w14:solidFill>
                    <w14:schemeClr w14:val="tx1"/>
                  </w14:solidFill>
                </w14:textFill>
              </w:rPr>
            </w:pPr>
            <w:r>
              <w:rPr>
                <w:rFonts w:hint="eastAsia" w:ascii="宋体" w:hAnsi="宋体" w:cs="Arial"/>
                <w:bCs/>
                <w:color w:val="000000" w:themeColor="text1"/>
                <w:kern w:val="0"/>
                <w:sz w:val="24"/>
                <w:highlight w:val="none"/>
                <w14:textFill>
                  <w14:solidFill>
                    <w14:schemeClr w14:val="tx1"/>
                  </w14:solidFill>
                </w14:textFill>
              </w:rPr>
              <w:t>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p>
        </w:tc>
        <w:tc>
          <w:tcPr>
            <w:tcW w:w="17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采水单元</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参照国家行业标准规范，含采水泵、采排水管路/水泵电缆及其铺设，详采水单元部分招标参数。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themeColor="text1"/>
                <w:kern w:val="0"/>
                <w:sz w:val="18"/>
                <w:szCs w:val="18"/>
                <w:highlight w:val="none"/>
                <w14:textFill>
                  <w14:solidFill>
                    <w14:schemeClr w14:val="tx1"/>
                  </w14:solidFill>
                </w14:textFill>
              </w:rPr>
            </w:pPr>
            <w:r>
              <w:rPr>
                <w:rFonts w:hint="eastAsia" w:ascii="Arial" w:hAnsi="Arial" w:cs="Arial"/>
                <w:color w:val="000000" w:themeColor="text1"/>
                <w:kern w:val="0"/>
                <w:sz w:val="18"/>
                <w:szCs w:val="18"/>
                <w:highlight w:val="none"/>
                <w14:textFill>
                  <w14:solidFill>
                    <w14:schemeClr w14:val="tx1"/>
                  </w14:solidFill>
                </w14:textFill>
              </w:rPr>
              <w:t>套</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kern w:val="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p>
        </w:tc>
        <w:tc>
          <w:tcPr>
            <w:tcW w:w="850" w:type="dxa"/>
            <w:tcBorders>
              <w:top w:val="single" w:color="auto" w:sz="4" w:space="0"/>
              <w:left w:val="single" w:color="auto" w:sz="4" w:space="0"/>
              <w:bottom w:val="single" w:color="auto" w:sz="4" w:space="0"/>
              <w:right w:val="single" w:color="auto" w:sz="4" w:space="0"/>
            </w:tcBorders>
            <w:vAlign w:val="center"/>
          </w:tcPr>
          <w:p>
            <w:pPr>
              <w:pStyle w:val="8"/>
              <w:jc w:val="center"/>
              <w:rPr>
                <w:rFonts w:ascii="Arial" w:hAnsi="Arial" w:cs="Arial"/>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w:t>
            </w:r>
          </w:p>
        </w:tc>
        <w:tc>
          <w:tcPr>
            <w:tcW w:w="17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配水和预处理单元</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参照国家行业标准规范，含流通池、沉淀池、精密过滤及配水和预处理管路系统，给各分析仪表提供合适压力、流量的水样，详见配水和预处理单元部分招标参数。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themeColor="text1"/>
                <w:kern w:val="0"/>
                <w:sz w:val="18"/>
                <w:szCs w:val="18"/>
                <w:highlight w:val="none"/>
                <w14:textFill>
                  <w14:solidFill>
                    <w14:schemeClr w14:val="tx1"/>
                  </w14:solidFill>
                </w14:textFill>
              </w:rPr>
            </w:pPr>
            <w:r>
              <w:rPr>
                <w:rFonts w:hint="eastAsia" w:ascii="Arial" w:hAnsi="Arial" w:cs="Arial"/>
                <w:color w:val="000000" w:themeColor="text1"/>
                <w:kern w:val="0"/>
                <w:sz w:val="18"/>
                <w:szCs w:val="18"/>
                <w:highlight w:val="none"/>
                <w14:textFill>
                  <w14:solidFill>
                    <w14:schemeClr w14:val="tx1"/>
                  </w14:solidFill>
                </w14:textFill>
              </w:rPr>
              <w:t>套</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kern w:val="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p>
        </w:tc>
        <w:tc>
          <w:tcPr>
            <w:tcW w:w="850" w:type="dxa"/>
            <w:tcBorders>
              <w:top w:val="single" w:color="auto" w:sz="4" w:space="0"/>
              <w:left w:val="single" w:color="auto" w:sz="4" w:space="0"/>
              <w:bottom w:val="single" w:color="auto" w:sz="4" w:space="0"/>
              <w:right w:val="single" w:color="auto" w:sz="4" w:space="0"/>
            </w:tcBorders>
            <w:vAlign w:val="center"/>
          </w:tcPr>
          <w:p>
            <w:pPr>
              <w:pStyle w:val="8"/>
              <w:jc w:val="center"/>
              <w:rPr>
                <w:rFonts w:ascii="Arial" w:hAnsi="Arial" w:cs="Arial"/>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p>
        </w:tc>
        <w:tc>
          <w:tcPr>
            <w:tcW w:w="17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自动清洗维护单元</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参照国家行业标准规范，含反冲洗空压机、臭氧发生器及自动清洗维护管路系统，详见自动清洗维护单元招标参数。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themeColor="text1"/>
                <w:kern w:val="0"/>
                <w:sz w:val="18"/>
                <w:szCs w:val="18"/>
                <w:highlight w:val="none"/>
                <w14:textFill>
                  <w14:solidFill>
                    <w14:schemeClr w14:val="tx1"/>
                  </w14:solidFill>
                </w14:textFill>
              </w:rPr>
            </w:pPr>
            <w:r>
              <w:rPr>
                <w:rFonts w:hint="eastAsia" w:ascii="Arial" w:hAnsi="Arial" w:cs="Arial"/>
                <w:color w:val="000000" w:themeColor="text1"/>
                <w:kern w:val="0"/>
                <w:sz w:val="18"/>
                <w:szCs w:val="18"/>
                <w:highlight w:val="none"/>
                <w14:textFill>
                  <w14:solidFill>
                    <w14:schemeClr w14:val="tx1"/>
                  </w14:solidFill>
                </w14:textFill>
              </w:rPr>
              <w:t>套</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p>
        </w:tc>
        <w:tc>
          <w:tcPr>
            <w:tcW w:w="850" w:type="dxa"/>
            <w:tcBorders>
              <w:top w:val="single" w:color="auto" w:sz="4" w:space="0"/>
              <w:left w:val="single" w:color="auto" w:sz="4" w:space="0"/>
              <w:bottom w:val="single" w:color="auto" w:sz="4" w:space="0"/>
              <w:right w:val="single" w:color="auto" w:sz="4" w:space="0"/>
            </w:tcBorders>
            <w:vAlign w:val="center"/>
          </w:tcPr>
          <w:p>
            <w:pPr>
              <w:pStyle w:val="8"/>
              <w:jc w:val="center"/>
              <w:rPr>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w:t>
            </w:r>
          </w:p>
        </w:tc>
        <w:tc>
          <w:tcPr>
            <w:tcW w:w="17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数据采集与传输单元</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参照国家行业标准规范；包含水资源监测集成控制系统软件（数据采集、分析、处理及传输）和触控嵌入式平板电脑，详见数据采集与传输单元招标参数。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themeColor="text1"/>
                <w:kern w:val="0"/>
                <w:sz w:val="18"/>
                <w:szCs w:val="18"/>
                <w:highlight w:val="none"/>
                <w14:textFill>
                  <w14:solidFill>
                    <w14:schemeClr w14:val="tx1"/>
                  </w14:solidFill>
                </w14:textFill>
              </w:rPr>
            </w:pPr>
            <w:r>
              <w:rPr>
                <w:rFonts w:hint="eastAsia" w:ascii="Arial" w:hAnsi="Arial" w:cs="Arial"/>
                <w:color w:val="000000" w:themeColor="text1"/>
                <w:kern w:val="0"/>
                <w:sz w:val="18"/>
                <w:szCs w:val="18"/>
                <w:highlight w:val="none"/>
                <w14:textFill>
                  <w14:solidFill>
                    <w14:schemeClr w14:val="tx1"/>
                  </w14:solidFill>
                </w14:textFill>
              </w:rPr>
              <w:t>套</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p>
        </w:tc>
        <w:tc>
          <w:tcPr>
            <w:tcW w:w="850" w:type="dxa"/>
            <w:tcBorders>
              <w:top w:val="single" w:color="auto" w:sz="4" w:space="0"/>
              <w:left w:val="single" w:color="auto" w:sz="4" w:space="0"/>
              <w:bottom w:val="single" w:color="auto" w:sz="4" w:space="0"/>
              <w:right w:val="single" w:color="auto" w:sz="4" w:space="0"/>
            </w:tcBorders>
            <w:vAlign w:val="center"/>
          </w:tcPr>
          <w:p>
            <w:pPr>
              <w:pStyle w:val="8"/>
              <w:jc w:val="center"/>
              <w:rPr>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w:t>
            </w:r>
          </w:p>
        </w:tc>
        <w:tc>
          <w:tcPr>
            <w:tcW w:w="17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控制单元</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参照国家行业标准规范；包含水资源监测集成控制系统软件（数据采集、分析、处理及传输）和触控嵌入式平板电脑等相应硬件设备以及留样系统，详见控制单元招标参数。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themeColor="text1"/>
                <w:kern w:val="0"/>
                <w:sz w:val="18"/>
                <w:szCs w:val="18"/>
                <w:highlight w:val="none"/>
                <w14:textFill>
                  <w14:solidFill>
                    <w14:schemeClr w14:val="tx1"/>
                  </w14:solidFill>
                </w14:textFill>
              </w:rPr>
            </w:pPr>
            <w:r>
              <w:rPr>
                <w:rFonts w:hint="eastAsia" w:ascii="Arial" w:hAnsi="Arial" w:cs="Arial"/>
                <w:color w:val="000000" w:themeColor="text1"/>
                <w:kern w:val="0"/>
                <w:sz w:val="18"/>
                <w:szCs w:val="18"/>
                <w:highlight w:val="none"/>
                <w14:textFill>
                  <w14:solidFill>
                    <w14:schemeClr w14:val="tx1"/>
                  </w14:solidFill>
                </w14:textFill>
              </w:rPr>
              <w:t>套</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p>
        </w:tc>
        <w:tc>
          <w:tcPr>
            <w:tcW w:w="850" w:type="dxa"/>
            <w:tcBorders>
              <w:top w:val="single" w:color="auto" w:sz="4" w:space="0"/>
              <w:left w:val="single" w:color="auto" w:sz="4" w:space="0"/>
              <w:bottom w:val="single" w:color="auto" w:sz="4" w:space="0"/>
              <w:right w:val="single" w:color="auto" w:sz="4" w:space="0"/>
            </w:tcBorders>
            <w:vAlign w:val="center"/>
          </w:tcPr>
          <w:p>
            <w:pPr>
              <w:pStyle w:val="8"/>
              <w:jc w:val="center"/>
              <w:rPr>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w:t>
            </w:r>
          </w:p>
        </w:tc>
        <w:tc>
          <w:tcPr>
            <w:tcW w:w="17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视频监控单元</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参照国家行业标准规范，包含球机、硬盘录像机及其辅材等，详见视频监控单元招标参数。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themeColor="text1"/>
                <w:kern w:val="0"/>
                <w:sz w:val="18"/>
                <w:szCs w:val="18"/>
                <w:highlight w:val="none"/>
                <w14:textFill>
                  <w14:solidFill>
                    <w14:schemeClr w14:val="tx1"/>
                  </w14:solidFill>
                </w14:textFill>
              </w:rPr>
            </w:pPr>
            <w:r>
              <w:rPr>
                <w:rFonts w:hint="eastAsia" w:ascii="Arial" w:hAnsi="Arial" w:cs="Arial"/>
                <w:color w:val="000000" w:themeColor="text1"/>
                <w:kern w:val="0"/>
                <w:sz w:val="18"/>
                <w:szCs w:val="18"/>
                <w:highlight w:val="none"/>
                <w14:textFill>
                  <w14:solidFill>
                    <w14:schemeClr w14:val="tx1"/>
                  </w14:solidFill>
                </w14:textFill>
              </w:rPr>
              <w:t>套</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p>
        </w:tc>
        <w:tc>
          <w:tcPr>
            <w:tcW w:w="850" w:type="dxa"/>
            <w:tcBorders>
              <w:top w:val="single" w:color="auto" w:sz="4" w:space="0"/>
              <w:left w:val="single" w:color="auto" w:sz="4" w:space="0"/>
              <w:bottom w:val="single" w:color="auto" w:sz="4" w:space="0"/>
              <w:right w:val="single" w:color="auto" w:sz="4" w:space="0"/>
            </w:tcBorders>
            <w:vAlign w:val="center"/>
          </w:tcPr>
          <w:p>
            <w:pPr>
              <w:pStyle w:val="8"/>
              <w:jc w:val="center"/>
              <w:rPr>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12</w:t>
            </w:r>
          </w:p>
        </w:tc>
        <w:tc>
          <w:tcPr>
            <w:tcW w:w="17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辅助单元</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参照国家行业标准规范；包含UPS、稳压电源、防雷单元、废液单元、自动灭火装置等，详见辅助单元招标参数</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套</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13</w:t>
            </w:r>
          </w:p>
        </w:tc>
        <w:tc>
          <w:tcPr>
            <w:tcW w:w="17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站房及其附属设施建设</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参照国家行业标准规范，详见站房及其附属设施建设部分招标参数。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themeColor="text1"/>
                <w:kern w:val="0"/>
                <w:sz w:val="18"/>
                <w:szCs w:val="18"/>
                <w:highlight w:val="none"/>
                <w14:textFill>
                  <w14:solidFill>
                    <w14:schemeClr w14:val="tx1"/>
                  </w14:solidFill>
                </w14:textFill>
              </w:rPr>
            </w:pPr>
            <w:r>
              <w:rPr>
                <w:rFonts w:hint="eastAsia" w:ascii="Arial" w:hAnsi="Arial" w:cs="Arial"/>
                <w:color w:val="000000" w:themeColor="text1"/>
                <w:kern w:val="0"/>
                <w:sz w:val="18"/>
                <w:szCs w:val="18"/>
                <w:highlight w:val="none"/>
                <w14:textFill>
                  <w14:solidFill>
                    <w14:schemeClr w14:val="tx1"/>
                  </w14:solidFill>
                </w14:textFill>
              </w:rPr>
              <w:t>套</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p>
        </w:tc>
        <w:tc>
          <w:tcPr>
            <w:tcW w:w="850" w:type="dxa"/>
            <w:tcBorders>
              <w:top w:val="single" w:color="auto" w:sz="4" w:space="0"/>
              <w:left w:val="single" w:color="auto" w:sz="4" w:space="0"/>
              <w:bottom w:val="single" w:color="auto" w:sz="4" w:space="0"/>
              <w:right w:val="single" w:color="auto" w:sz="4" w:space="0"/>
            </w:tcBorders>
            <w:vAlign w:val="center"/>
          </w:tcPr>
          <w:p>
            <w:pPr>
              <w:pStyle w:val="8"/>
              <w:jc w:val="center"/>
              <w:rPr>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14</w:t>
            </w:r>
          </w:p>
        </w:tc>
        <w:tc>
          <w:tcPr>
            <w:tcW w:w="17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其他费用</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为满足功能要求但未详列的其他设备材料等费用</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themeColor="text1"/>
                <w:kern w:val="0"/>
                <w:sz w:val="18"/>
                <w:szCs w:val="18"/>
                <w:highlight w:val="none"/>
                <w14:textFill>
                  <w14:solidFill>
                    <w14:schemeClr w14:val="tx1"/>
                  </w14:solidFill>
                </w14:textFill>
              </w:rPr>
            </w:pPr>
            <w:r>
              <w:rPr>
                <w:rFonts w:hint="eastAsia" w:ascii="Arial" w:hAnsi="Arial" w:cs="Arial"/>
                <w:color w:val="000000" w:themeColor="text1"/>
                <w:kern w:val="0"/>
                <w:sz w:val="18"/>
                <w:szCs w:val="18"/>
                <w:highlight w:val="none"/>
                <w14:textFill>
                  <w14:solidFill>
                    <w14:schemeClr w14:val="tx1"/>
                  </w14:solidFill>
                </w14:textFill>
              </w:rPr>
              <w:t>套</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p>
        </w:tc>
        <w:tc>
          <w:tcPr>
            <w:tcW w:w="850" w:type="dxa"/>
            <w:tcBorders>
              <w:top w:val="single" w:color="auto" w:sz="4" w:space="0"/>
              <w:left w:val="single" w:color="auto" w:sz="4" w:space="0"/>
              <w:bottom w:val="single" w:color="auto" w:sz="4" w:space="0"/>
              <w:right w:val="single" w:color="auto" w:sz="4" w:space="0"/>
            </w:tcBorders>
            <w:vAlign w:val="center"/>
          </w:tcPr>
          <w:p>
            <w:pPr>
              <w:pStyle w:val="8"/>
              <w:jc w:val="center"/>
              <w:rPr>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8896" w:type="dxa"/>
            <w:gridSpan w:val="6"/>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说明：1.投标人的投标文件必须标明所投货物的品牌与参数，保证原厂正品供货，提供相关资料等。</w:t>
            </w:r>
          </w:p>
          <w:p>
            <w:pPr>
              <w:numPr>
                <w:ilvl w:val="0"/>
                <w:numId w:val="1"/>
              </w:num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核心产品为“ 五参数在线分析仪、氨氮在线分析仪、高锰酸盐指数自动分析仪、 总磷自动分析仪、总氮自动分析仪”。</w:t>
            </w:r>
          </w:p>
          <w:p>
            <w:pPr>
              <w:numPr>
                <w:ilvl w:val="0"/>
                <w:numId w:val="1"/>
              </w:num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分析仪表单元的分析仪全部为国产</w:t>
            </w:r>
            <w:r>
              <w:rPr>
                <w:rFonts w:hint="eastAsia" w:ascii="宋体" w:hAnsi="宋体"/>
                <w:color w:val="000000" w:themeColor="text1"/>
                <w:szCs w:val="21"/>
                <w:highlight w:val="none"/>
                <w:lang w:eastAsia="zh-CN"/>
                <w14:textFill>
                  <w14:solidFill>
                    <w14:schemeClr w14:val="tx1"/>
                  </w14:solidFill>
                </w14:textFill>
              </w:rPr>
              <w:t>品牌</w:t>
            </w:r>
            <w:r>
              <w:rPr>
                <w:rFonts w:hint="eastAsia" w:ascii="宋体" w:hAnsi="宋体"/>
                <w:color w:val="000000" w:themeColor="text1"/>
                <w:szCs w:val="21"/>
                <w:highlight w:val="none"/>
                <w14:textFill>
                  <w14:solidFill>
                    <w14:schemeClr w14:val="tx1"/>
                  </w14:solidFill>
                </w14:textFill>
              </w:rPr>
              <w:t>且必须完全兼容；</w:t>
            </w:r>
          </w:p>
          <w:p>
            <w:pPr>
              <w:numPr>
                <w:ilvl w:val="0"/>
                <w:numId w:val="1"/>
              </w:num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总报价为“交钥匙”价</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其他未考虑的</w:t>
            </w:r>
            <w:r>
              <w:rPr>
                <w:rFonts w:hint="eastAsia" w:ascii="宋体" w:hAnsi="宋体"/>
                <w:color w:val="000000" w:themeColor="text1"/>
                <w:szCs w:val="21"/>
                <w:highlight w:val="none"/>
                <w:lang w:eastAsia="zh-CN"/>
                <w14:textFill>
                  <w14:solidFill>
                    <w14:schemeClr w14:val="tx1"/>
                  </w14:solidFill>
                </w14:textFill>
              </w:rPr>
              <w:t>辅助</w:t>
            </w:r>
            <w:r>
              <w:rPr>
                <w:rFonts w:hint="eastAsia" w:ascii="宋体" w:hAnsi="宋体"/>
                <w:color w:val="000000" w:themeColor="text1"/>
                <w:szCs w:val="21"/>
                <w:highlight w:val="none"/>
                <w14:textFill>
                  <w14:solidFill>
                    <w14:schemeClr w14:val="tx1"/>
                  </w14:solidFill>
                </w14:textFill>
              </w:rPr>
              <w:t>内容投标人自行考虑在报价中，中标后不再追加费用。</w:t>
            </w:r>
          </w:p>
          <w:p>
            <w:pPr>
              <w:numPr>
                <w:ilvl w:val="0"/>
                <w:numId w:val="1"/>
              </w:num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投标人须在投标文件中提供水质自动监测系统相关软件著作权登记证书、</w:t>
            </w:r>
            <w:r>
              <w:rPr>
                <w:rFonts w:hint="eastAsia" w:ascii="宋体" w:hAnsi="宋体"/>
                <w:color w:val="000000" w:themeColor="text1"/>
                <w:szCs w:val="21"/>
                <w:highlight w:val="none"/>
                <w14:textFill>
                  <w14:solidFill>
                    <w14:schemeClr w14:val="tx1"/>
                  </w14:solidFill>
                </w14:textFill>
              </w:rPr>
              <w:t>ISO14001环境管理体系认证证书、ISO9001质量管理体系认证证书、ISO27001信息安全管理体系认证证书</w:t>
            </w:r>
            <w:r>
              <w:rPr>
                <w:rFonts w:hint="eastAsia" w:ascii="宋体" w:hAnsi="宋体"/>
                <w:color w:val="000000" w:themeColor="text1"/>
                <w:szCs w:val="21"/>
                <w:highlight w:val="none"/>
                <w:lang w:eastAsia="zh-CN"/>
                <w14:textFill>
                  <w14:solidFill>
                    <w14:schemeClr w14:val="tx1"/>
                  </w14:solidFill>
                </w14:textFill>
              </w:rPr>
              <w:t>。</w:t>
            </w:r>
          </w:p>
          <w:p>
            <w:pPr>
              <w:numPr>
                <w:ilvl w:val="0"/>
                <w:numId w:val="1"/>
              </w:num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本项目质保期两年。</w:t>
            </w:r>
          </w:p>
          <w:p>
            <w:pPr>
              <w:widowControl/>
              <w:rPr>
                <w:rFonts w:ascii="宋体" w:hAnsi="宋体" w:cs="Arial"/>
                <w:color w:val="000000" w:themeColor="text1"/>
                <w:kern w:val="0"/>
                <w:sz w:val="24"/>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本次采购最高投标限价：人民币柒佰叁拾贰万元整（￥7320000.00元）</w:t>
            </w:r>
          </w:p>
        </w:tc>
      </w:tr>
    </w:tbl>
    <w:p>
      <w:pPr>
        <w:pStyle w:val="4"/>
        <w:rPr>
          <w:rFonts w:hAnsi="宋体" w:cs="宋体"/>
          <w:b w:val="0"/>
          <w:color w:val="000000" w:themeColor="text1"/>
          <w:sz w:val="21"/>
          <w:szCs w:val="21"/>
          <w:highlight w:val="none"/>
          <w14:textFill>
            <w14:solidFill>
              <w14:schemeClr w14:val="tx1"/>
            </w14:solidFill>
          </w14:textFill>
        </w:rPr>
      </w:pPr>
    </w:p>
    <w:p>
      <w:pPr>
        <w:pStyle w:val="3"/>
        <w:widowControl/>
        <w:numPr>
          <w:ilvl w:val="0"/>
          <w:numId w:val="2"/>
        </w:numPr>
        <w:spacing w:before="0"/>
        <w:jc w:val="left"/>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通用技术要求</w:t>
      </w:r>
    </w:p>
    <w:p>
      <w:pPr>
        <w:pStyle w:val="4"/>
        <w:adjustRightInd/>
        <w:spacing w:line="360" w:lineRule="auto"/>
        <w:rPr>
          <w:rFonts w:hAnsi="宋体" w:cs="宋体"/>
          <w:b w:val="0"/>
          <w:color w:val="000000" w:themeColor="text1"/>
          <w:sz w:val="21"/>
          <w:szCs w:val="21"/>
          <w:highlight w:val="none"/>
          <w14:textFill>
            <w14:solidFill>
              <w14:schemeClr w14:val="tx1"/>
            </w14:solidFill>
          </w14:textFill>
        </w:rPr>
      </w:pPr>
      <w:bookmarkStart w:id="4" w:name="_Toc505184810"/>
      <w:bookmarkStart w:id="5" w:name="_Toc502229121"/>
      <w:bookmarkStart w:id="6" w:name="_Toc504040657"/>
      <w:bookmarkStart w:id="7" w:name="_Toc505252660"/>
      <w:r>
        <w:rPr>
          <w:rFonts w:hint="eastAsia" w:hAnsi="宋体" w:cs="宋体"/>
          <w:b w:val="0"/>
          <w:color w:val="000000" w:themeColor="text1"/>
          <w:sz w:val="21"/>
          <w:szCs w:val="21"/>
          <w:highlight w:val="none"/>
          <w14:textFill>
            <w14:solidFill>
              <w14:schemeClr w14:val="tx1"/>
            </w14:solidFill>
          </w14:textFill>
        </w:rPr>
        <w:t>1.1操作语言</w:t>
      </w:r>
      <w:bookmarkEnd w:id="4"/>
      <w:bookmarkEnd w:id="5"/>
      <w:bookmarkEnd w:id="6"/>
      <w:bookmarkEnd w:id="7"/>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水质自动分析仪器和控制单元所有显示须为中文，符合《信息交换用汉字编码字符集》（GB2312－1980）。</w:t>
      </w:r>
    </w:p>
    <w:p>
      <w:pPr>
        <w:pStyle w:val="4"/>
        <w:adjustRightInd/>
        <w:spacing w:line="360" w:lineRule="auto"/>
        <w:rPr>
          <w:rFonts w:hAnsi="宋体" w:cs="宋体"/>
          <w:b w:val="0"/>
          <w:color w:val="000000" w:themeColor="text1"/>
          <w:sz w:val="21"/>
          <w:szCs w:val="21"/>
          <w:highlight w:val="none"/>
          <w14:textFill>
            <w14:solidFill>
              <w14:schemeClr w14:val="tx1"/>
            </w14:solidFill>
          </w14:textFill>
        </w:rPr>
      </w:pPr>
      <w:bookmarkStart w:id="8" w:name="_Toc502229122"/>
      <w:bookmarkStart w:id="9" w:name="_Toc505184811"/>
      <w:bookmarkStart w:id="10" w:name="_Toc505252661"/>
      <w:bookmarkStart w:id="11" w:name="_Toc504040658"/>
      <w:r>
        <w:rPr>
          <w:rFonts w:hint="eastAsia" w:hAnsi="宋体" w:cs="宋体"/>
          <w:b w:val="0"/>
          <w:color w:val="000000" w:themeColor="text1"/>
          <w:sz w:val="21"/>
          <w:szCs w:val="21"/>
          <w:highlight w:val="none"/>
          <w14:textFill>
            <w14:solidFill>
              <w14:schemeClr w14:val="tx1"/>
            </w14:solidFill>
          </w14:textFill>
        </w:rPr>
        <w:t>1.2供电要求</w:t>
      </w:r>
      <w:bookmarkEnd w:id="8"/>
      <w:bookmarkEnd w:id="9"/>
      <w:bookmarkEnd w:id="10"/>
      <w:bookmarkEnd w:id="11"/>
    </w:p>
    <w:p>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固定站</w:t>
      </w:r>
      <w:r>
        <w:rPr>
          <w:rFonts w:hint="eastAsia" w:ascii="宋体" w:hAnsi="宋体" w:cs="宋体"/>
          <w:color w:val="000000" w:themeColor="text1"/>
          <w:kern w:val="0"/>
          <w:szCs w:val="21"/>
          <w:highlight w:val="none"/>
          <w14:textFill>
            <w14:solidFill>
              <w14:schemeClr w14:val="tx1"/>
            </w14:solidFill>
          </w14:textFill>
        </w:rPr>
        <w:t>设备的运行电压为：(220±22)V，交流频率为（50±0.5）Hz。</w:t>
      </w:r>
    </w:p>
    <w:p>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所有设备的电源插头为中国制式A9120-9085-1。</w:t>
      </w:r>
    </w:p>
    <w:p>
      <w:pPr>
        <w:pStyle w:val="4"/>
        <w:adjustRightInd/>
        <w:spacing w:line="360" w:lineRule="auto"/>
        <w:rPr>
          <w:rFonts w:hAnsi="宋体" w:cs="宋体"/>
          <w:b w:val="0"/>
          <w:color w:val="000000" w:themeColor="text1"/>
          <w:sz w:val="21"/>
          <w:szCs w:val="21"/>
          <w:highlight w:val="none"/>
          <w14:textFill>
            <w14:solidFill>
              <w14:schemeClr w14:val="tx1"/>
            </w14:solidFill>
          </w14:textFill>
        </w:rPr>
      </w:pPr>
      <w:bookmarkStart w:id="12" w:name="_Toc504040659"/>
      <w:bookmarkStart w:id="13" w:name="_Toc505184812"/>
      <w:bookmarkStart w:id="14" w:name="_Toc505252662"/>
      <w:bookmarkStart w:id="15" w:name="_Toc502229123"/>
      <w:r>
        <w:rPr>
          <w:rFonts w:hint="eastAsia" w:hAnsi="宋体" w:cs="宋体"/>
          <w:b w:val="0"/>
          <w:color w:val="000000" w:themeColor="text1"/>
          <w:sz w:val="21"/>
          <w:szCs w:val="21"/>
          <w:highlight w:val="none"/>
          <w14:textFill>
            <w14:solidFill>
              <w14:schemeClr w14:val="tx1"/>
            </w14:solidFill>
          </w14:textFill>
        </w:rPr>
        <w:t>1.3使用环境要求</w:t>
      </w:r>
      <w:bookmarkEnd w:id="12"/>
      <w:bookmarkEnd w:id="13"/>
      <w:bookmarkEnd w:id="14"/>
      <w:bookmarkEnd w:id="15"/>
    </w:p>
    <w:p>
      <w:pPr>
        <w:adjustRightInd w:val="0"/>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所有设备在温度5～45℃、相对湿度小于90%环境下能够正常运行。</w:t>
      </w:r>
    </w:p>
    <w:p>
      <w:pPr>
        <w:pStyle w:val="4"/>
        <w:adjustRightInd/>
        <w:spacing w:line="360" w:lineRule="auto"/>
        <w:rPr>
          <w:rFonts w:hAnsi="宋体" w:cs="宋体"/>
          <w:b w:val="0"/>
          <w:color w:val="000000" w:themeColor="text1"/>
          <w:sz w:val="21"/>
          <w:szCs w:val="21"/>
          <w:highlight w:val="none"/>
          <w14:textFill>
            <w14:solidFill>
              <w14:schemeClr w14:val="tx1"/>
            </w14:solidFill>
          </w14:textFill>
        </w:rPr>
      </w:pPr>
      <w:bookmarkStart w:id="16" w:name="_Toc505252664"/>
      <w:bookmarkStart w:id="17" w:name="_Toc505184814"/>
      <w:r>
        <w:rPr>
          <w:rFonts w:hint="eastAsia" w:hAnsi="宋体" w:cs="宋体"/>
          <w:b w:val="0"/>
          <w:color w:val="000000" w:themeColor="text1"/>
          <w:sz w:val="21"/>
          <w:szCs w:val="21"/>
          <w:highlight w:val="none"/>
          <w14:textFill>
            <w14:solidFill>
              <w14:schemeClr w14:val="tx1"/>
            </w14:solidFill>
          </w14:textFill>
        </w:rPr>
        <w:t>1.4通讯协议要求</w:t>
      </w:r>
      <w:bookmarkEnd w:id="16"/>
      <w:bookmarkEnd w:id="17"/>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投标人须承诺中标后按照安徽省环保厅指定的传输协议要求，将所有监测数据传输至指定的平台，包括仪器的实时状态、关键参数和监测数据等。并向采购人提供所有仪器的底层通信协议。</w:t>
      </w:r>
    </w:p>
    <w:p>
      <w:pPr>
        <w:pStyle w:val="3"/>
        <w:widowControl/>
        <w:numPr>
          <w:ilvl w:val="0"/>
          <w:numId w:val="2"/>
        </w:numPr>
        <w:spacing w:before="0"/>
        <w:jc w:val="left"/>
        <w:rPr>
          <w:rFonts w:ascii="宋体" w:hAnsi="宋体" w:cs="宋体"/>
          <w:b w:val="0"/>
          <w:color w:val="000000" w:themeColor="text1"/>
          <w:sz w:val="21"/>
          <w:szCs w:val="21"/>
          <w:highlight w:val="none"/>
          <w14:textFill>
            <w14:solidFill>
              <w14:schemeClr w14:val="tx1"/>
            </w14:solidFill>
          </w14:textFill>
        </w:rPr>
      </w:pPr>
      <w:bookmarkStart w:id="18" w:name="_Toc504940552"/>
      <w:bookmarkStart w:id="19" w:name="_Toc505184815"/>
      <w:bookmarkStart w:id="20" w:name="_Toc505252665"/>
      <w:r>
        <w:rPr>
          <w:rFonts w:hint="eastAsia" w:ascii="宋体" w:hAnsi="宋体" w:cs="宋体"/>
          <w:b w:val="0"/>
          <w:color w:val="000000" w:themeColor="text1"/>
          <w:sz w:val="21"/>
          <w:szCs w:val="21"/>
          <w:highlight w:val="none"/>
          <w14:textFill>
            <w14:solidFill>
              <w14:schemeClr w14:val="tx1"/>
            </w14:solidFill>
          </w14:textFill>
        </w:rPr>
        <w:t>自动分析仪器技术要求</w:t>
      </w:r>
      <w:bookmarkEnd w:id="18"/>
      <w:bookmarkEnd w:id="19"/>
      <w:bookmarkEnd w:id="20"/>
      <w:r>
        <w:rPr>
          <w:rFonts w:hint="eastAsia" w:ascii="宋体" w:hAnsi="宋体" w:cs="宋体"/>
          <w:b w:val="0"/>
          <w:color w:val="000000" w:themeColor="text1"/>
          <w:sz w:val="21"/>
          <w:szCs w:val="21"/>
          <w:highlight w:val="none"/>
          <w14:textFill>
            <w14:solidFill>
              <w14:schemeClr w14:val="tx1"/>
            </w14:solidFill>
          </w14:textFill>
        </w:rPr>
        <w:t xml:space="preserve"> </w:t>
      </w:r>
    </w:p>
    <w:p>
      <w:pPr>
        <w:pStyle w:val="4"/>
        <w:adjustRightInd/>
        <w:spacing w:line="360" w:lineRule="auto"/>
        <w:rPr>
          <w:rFonts w:hAnsi="宋体" w:cs="宋体"/>
          <w:b w:val="0"/>
          <w:color w:val="000000" w:themeColor="text1"/>
          <w:sz w:val="21"/>
          <w:szCs w:val="21"/>
          <w:highlight w:val="none"/>
          <w14:textFill>
            <w14:solidFill>
              <w14:schemeClr w14:val="tx1"/>
            </w14:solidFill>
          </w14:textFill>
        </w:rPr>
      </w:pPr>
      <w:r>
        <w:rPr>
          <w:rFonts w:hint="eastAsia" w:hAnsi="宋体" w:cs="宋体"/>
          <w:b w:val="0"/>
          <w:color w:val="000000" w:themeColor="text1"/>
          <w:sz w:val="21"/>
          <w:szCs w:val="21"/>
          <w:highlight w:val="none"/>
          <w14:textFill>
            <w14:solidFill>
              <w14:schemeClr w14:val="tx1"/>
            </w14:solidFill>
          </w14:textFill>
        </w:rPr>
        <w:t>2.1水质自动分析仪器基本功能</w:t>
      </w:r>
    </w:p>
    <w:p>
      <w:pPr>
        <w:snapToGrid w:val="0"/>
        <w:spacing w:line="360" w:lineRule="auto"/>
        <w:ind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（1）高锰酸盐指数、氨氮、总磷、总氮分析仪具有自动标样核查、零点校准、标样校准等功能；</w:t>
      </w:r>
    </w:p>
    <w:p>
      <w:pPr>
        <w:snapToGrid w:val="0"/>
        <w:spacing w:line="360" w:lineRule="auto"/>
        <w:ind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（2）具有异常信息记录、上传功能，如零部件故障、超量程报警、超标报警、缺试剂报警等信息；</w:t>
      </w:r>
    </w:p>
    <w:p>
      <w:pPr>
        <w:snapToGrid w:val="0"/>
        <w:spacing w:line="360" w:lineRule="auto"/>
        <w:ind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（3）具有仪器状态(如测量、空闲、故障等)显示；</w:t>
      </w:r>
    </w:p>
    <w:p>
      <w:pPr>
        <w:snapToGrid w:val="0"/>
        <w:spacing w:line="360" w:lineRule="auto"/>
        <w:ind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（4）具有RS-232或RS-485标准通讯接口；</w:t>
      </w:r>
    </w:p>
    <w:p>
      <w:pPr>
        <w:pStyle w:val="9"/>
        <w:numPr>
          <w:ilvl w:val="0"/>
          <w:numId w:val="3"/>
        </w:numPr>
        <w:snapToGrid w:val="0"/>
        <w:spacing w:line="360" w:lineRule="auto"/>
        <w:ind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具备1小时1次的监测能力。</w:t>
      </w:r>
    </w:p>
    <w:p>
      <w:pPr>
        <w:pStyle w:val="4"/>
        <w:adjustRightInd/>
        <w:spacing w:line="360" w:lineRule="auto"/>
        <w:rPr>
          <w:rFonts w:hAnsi="宋体" w:cs="宋体"/>
          <w:b w:val="0"/>
          <w:color w:val="000000" w:themeColor="text1"/>
          <w:sz w:val="21"/>
          <w:szCs w:val="21"/>
          <w:highlight w:val="none"/>
          <w14:textFill>
            <w14:solidFill>
              <w14:schemeClr w14:val="tx1"/>
            </w14:solidFill>
          </w14:textFill>
        </w:rPr>
      </w:pPr>
      <w:r>
        <w:rPr>
          <w:rFonts w:hint="eastAsia" w:hAnsi="宋体" w:cs="宋体"/>
          <w:b w:val="0"/>
          <w:color w:val="000000" w:themeColor="text1"/>
          <w:sz w:val="21"/>
          <w:szCs w:val="21"/>
          <w:highlight w:val="none"/>
          <w14:textFill>
            <w14:solidFill>
              <w14:schemeClr w14:val="tx1"/>
            </w14:solidFill>
          </w14:textFill>
        </w:rPr>
        <w:t>2.2水质自动分析仪器技术要求</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水质分析仪器均须提供环境保护部环境监测仪器质量监督检验中心</w:t>
      </w:r>
      <w:r>
        <w:rPr>
          <w:rFonts w:hint="eastAsia" w:ascii="宋体" w:hAnsi="宋体" w:cs="宋体"/>
          <w:color w:val="000000" w:themeColor="text1"/>
          <w:szCs w:val="21"/>
          <w:highlight w:val="none"/>
          <w:lang w:eastAsia="zh-CN"/>
          <w14:textFill>
            <w14:solidFill>
              <w14:schemeClr w14:val="tx1"/>
            </w14:solidFill>
          </w14:textFill>
        </w:rPr>
        <w:t>或第三方检测机构</w:t>
      </w:r>
      <w:r>
        <w:rPr>
          <w:rFonts w:hint="eastAsia" w:ascii="宋体" w:hAnsi="宋体" w:cs="宋体"/>
          <w:color w:val="000000" w:themeColor="text1"/>
          <w:szCs w:val="21"/>
          <w:highlight w:val="none"/>
          <w14:textFill>
            <w14:solidFill>
              <w14:schemeClr w14:val="tx1"/>
            </w14:solidFill>
          </w14:textFill>
        </w:rPr>
        <w:t>出具的合格有效的检测报告。</w:t>
      </w:r>
    </w:p>
    <w:p>
      <w:pPr>
        <w:keepNext/>
        <w:spacing w:line="360" w:lineRule="auto"/>
        <w:contextualSpacing/>
        <w:outlineLvl w:val="2"/>
        <w:rPr>
          <w:rFonts w:ascii="宋体" w:hAnsi="宋体" w:cs="宋体"/>
          <w:color w:val="000000" w:themeColor="text1"/>
          <w:szCs w:val="21"/>
          <w:highlight w:val="none"/>
          <w14:textFill>
            <w14:solidFill>
              <w14:schemeClr w14:val="tx1"/>
            </w14:solidFill>
          </w14:textFill>
        </w:rPr>
      </w:pPr>
      <w:bookmarkStart w:id="21" w:name="_Toc505252668"/>
      <w:bookmarkStart w:id="22" w:name="_Toc505184819"/>
      <w:r>
        <w:rPr>
          <w:rFonts w:hint="eastAsia" w:ascii="宋体" w:hAnsi="宋体" w:cs="宋体"/>
          <w:color w:val="000000" w:themeColor="text1"/>
          <w:szCs w:val="21"/>
          <w:highlight w:val="none"/>
          <w14:textFill>
            <w14:solidFill>
              <w14:schemeClr w14:val="tx1"/>
            </w14:solidFill>
          </w14:textFill>
        </w:rPr>
        <w:t>2.2.1常规五参数水质自动分析仪</w:t>
      </w:r>
      <w:bookmarkEnd w:id="21"/>
      <w:bookmarkEnd w:id="22"/>
    </w:p>
    <w:p>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（1）水温水质自动分析仪</w:t>
      </w:r>
    </w:p>
    <w:tbl>
      <w:tblPr>
        <w:tblStyle w:val="7"/>
        <w:tblW w:w="5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8"/>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998"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w:t>
            </w:r>
          </w:p>
        </w:tc>
        <w:tc>
          <w:tcPr>
            <w:tcW w:w="2933"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998"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测定原理</w:t>
            </w:r>
          </w:p>
        </w:tc>
        <w:tc>
          <w:tcPr>
            <w:tcW w:w="2933"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热电阻或热电偶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998"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量程</w:t>
            </w:r>
          </w:p>
        </w:tc>
        <w:tc>
          <w:tcPr>
            <w:tcW w:w="2933"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0℃～60 ℃，可调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998"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准确度</w:t>
            </w:r>
          </w:p>
        </w:tc>
        <w:tc>
          <w:tcPr>
            <w:tcW w:w="2933"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998"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MTBF</w:t>
            </w:r>
          </w:p>
        </w:tc>
        <w:tc>
          <w:tcPr>
            <w:tcW w:w="2933"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≥720 h/次</w:t>
            </w:r>
          </w:p>
        </w:tc>
      </w:tr>
    </w:tbl>
    <w:p>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（2）pH水质自动分析仪</w:t>
      </w:r>
    </w:p>
    <w:p>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p>
    <w:tbl>
      <w:tblPr>
        <w:tblStyle w:val="7"/>
        <w:tblW w:w="5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7"/>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blHeader/>
          <w:jc w:val="center"/>
        </w:trPr>
        <w:tc>
          <w:tcPr>
            <w:tcW w:w="2987"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w:t>
            </w:r>
          </w:p>
        </w:tc>
        <w:tc>
          <w:tcPr>
            <w:tcW w:w="2948"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2987"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测定原理</w:t>
            </w:r>
          </w:p>
        </w:tc>
        <w:tc>
          <w:tcPr>
            <w:tcW w:w="2948"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玻璃电极法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987"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量程</w:t>
            </w:r>
          </w:p>
        </w:tc>
        <w:tc>
          <w:tcPr>
            <w:tcW w:w="2948"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pH 0～14 （0～40 ℃），可调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987"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漂移（pH=4、7、9）</w:t>
            </w:r>
          </w:p>
        </w:tc>
        <w:tc>
          <w:tcPr>
            <w:tcW w:w="2948"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±0.1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987"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重复性</w:t>
            </w:r>
          </w:p>
        </w:tc>
        <w:tc>
          <w:tcPr>
            <w:tcW w:w="2948"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±0.1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987"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响应时间</w:t>
            </w:r>
          </w:p>
        </w:tc>
        <w:tc>
          <w:tcPr>
            <w:tcW w:w="2948"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987"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温度补偿精度</w:t>
            </w:r>
          </w:p>
        </w:tc>
        <w:tc>
          <w:tcPr>
            <w:tcW w:w="2948"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±0.1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987"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MTBF</w:t>
            </w:r>
          </w:p>
        </w:tc>
        <w:tc>
          <w:tcPr>
            <w:tcW w:w="2948"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≥720 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987"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实际水样比对试验</w:t>
            </w:r>
          </w:p>
        </w:tc>
        <w:tc>
          <w:tcPr>
            <w:tcW w:w="2948"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±0.1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987"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防护等级</w:t>
            </w:r>
          </w:p>
        </w:tc>
        <w:tc>
          <w:tcPr>
            <w:tcW w:w="2948"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≥IP65</w:t>
            </w:r>
          </w:p>
        </w:tc>
      </w:tr>
    </w:tbl>
    <w:p>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（3）溶解氧水质自动分析仪</w:t>
      </w:r>
    </w:p>
    <w:tbl>
      <w:tblPr>
        <w:tblStyle w:val="7"/>
        <w:tblW w:w="5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0"/>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2900"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w:t>
            </w:r>
          </w:p>
        </w:tc>
        <w:tc>
          <w:tcPr>
            <w:tcW w:w="305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2900"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测定原理</w:t>
            </w:r>
          </w:p>
        </w:tc>
        <w:tc>
          <w:tcPr>
            <w:tcW w:w="305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电化学法、荧光法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2900"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量程</w:t>
            </w:r>
          </w:p>
        </w:tc>
        <w:tc>
          <w:tcPr>
            <w:tcW w:w="305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0～20 mg/L，可调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2900"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零点漂移</w:t>
            </w:r>
          </w:p>
        </w:tc>
        <w:tc>
          <w:tcPr>
            <w:tcW w:w="305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±0.3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2900"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量程漂移</w:t>
            </w:r>
          </w:p>
        </w:tc>
        <w:tc>
          <w:tcPr>
            <w:tcW w:w="305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±0.3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2900"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重复性</w:t>
            </w:r>
          </w:p>
        </w:tc>
        <w:tc>
          <w:tcPr>
            <w:tcW w:w="305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±0.3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2900"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响应时间（T</w:t>
            </w:r>
            <w:r>
              <w:rPr>
                <w:rFonts w:hint="eastAsia" w:ascii="宋体" w:hAnsi="宋体" w:cs="宋体"/>
                <w:color w:val="000000" w:themeColor="text1"/>
                <w:kern w:val="0"/>
                <w:szCs w:val="21"/>
                <w:highlight w:val="none"/>
                <w:vertAlign w:val="subscript"/>
                <w14:textFill>
                  <w14:solidFill>
                    <w14:schemeClr w14:val="tx1"/>
                  </w14:solidFill>
                </w14:textFill>
              </w:rPr>
              <w:t>90</w:t>
            </w:r>
            <w:r>
              <w:rPr>
                <w:rFonts w:hint="eastAsia" w:ascii="宋体" w:hAnsi="宋体" w:cs="宋体"/>
                <w:color w:val="000000" w:themeColor="text1"/>
                <w:kern w:val="0"/>
                <w:szCs w:val="21"/>
                <w:highlight w:val="none"/>
                <w14:textFill>
                  <w14:solidFill>
                    <w14:schemeClr w14:val="tx1"/>
                  </w14:solidFill>
                </w14:textFill>
              </w:rPr>
              <w:t>）</w:t>
            </w:r>
          </w:p>
        </w:tc>
        <w:tc>
          <w:tcPr>
            <w:tcW w:w="305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≤120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2900"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温度补偿精度</w:t>
            </w:r>
          </w:p>
        </w:tc>
        <w:tc>
          <w:tcPr>
            <w:tcW w:w="305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±0.3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2900"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MTBF</w:t>
            </w:r>
          </w:p>
        </w:tc>
        <w:tc>
          <w:tcPr>
            <w:tcW w:w="305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≥720 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2900"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实际水样比对试验</w:t>
            </w:r>
          </w:p>
        </w:tc>
        <w:tc>
          <w:tcPr>
            <w:tcW w:w="305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±0.3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2900"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防护等级</w:t>
            </w:r>
          </w:p>
        </w:tc>
        <w:tc>
          <w:tcPr>
            <w:tcW w:w="305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≥IP65</w:t>
            </w:r>
          </w:p>
        </w:tc>
      </w:tr>
    </w:tbl>
    <w:p>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（4）电导率水质自动分析仪</w:t>
      </w:r>
    </w:p>
    <w:tbl>
      <w:tblPr>
        <w:tblStyle w:val="7"/>
        <w:tblW w:w="59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1"/>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63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w:t>
            </w:r>
          </w:p>
        </w:tc>
        <w:tc>
          <w:tcPr>
            <w:tcW w:w="332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63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测定原理</w:t>
            </w:r>
          </w:p>
        </w:tc>
        <w:tc>
          <w:tcPr>
            <w:tcW w:w="332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63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最小检测范围</w:t>
            </w:r>
          </w:p>
        </w:tc>
        <w:tc>
          <w:tcPr>
            <w:tcW w:w="332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0～500 mS/m（0～40℃），可调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63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重复性误差</w:t>
            </w:r>
          </w:p>
        </w:tc>
        <w:tc>
          <w:tcPr>
            <w:tcW w:w="332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63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零点漂移</w:t>
            </w:r>
          </w:p>
        </w:tc>
        <w:tc>
          <w:tcPr>
            <w:tcW w:w="332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63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量程漂移</w:t>
            </w:r>
          </w:p>
        </w:tc>
        <w:tc>
          <w:tcPr>
            <w:tcW w:w="332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63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响应时间（T</w:t>
            </w:r>
            <w:r>
              <w:rPr>
                <w:rFonts w:hint="eastAsia" w:ascii="宋体" w:hAnsi="宋体" w:cs="宋体"/>
                <w:color w:val="000000" w:themeColor="text1"/>
                <w:kern w:val="0"/>
                <w:szCs w:val="21"/>
                <w:highlight w:val="none"/>
                <w:vertAlign w:val="subscript"/>
                <w14:textFill>
                  <w14:solidFill>
                    <w14:schemeClr w14:val="tx1"/>
                  </w14:solidFill>
                </w14:textFill>
              </w:rPr>
              <w:t>90</w:t>
            </w:r>
            <w:r>
              <w:rPr>
                <w:rFonts w:hint="eastAsia" w:ascii="宋体" w:hAnsi="宋体" w:cs="宋体"/>
                <w:color w:val="000000" w:themeColor="text1"/>
                <w:kern w:val="0"/>
                <w:szCs w:val="21"/>
                <w:highlight w:val="none"/>
                <w14:textFill>
                  <w14:solidFill>
                    <w14:schemeClr w14:val="tx1"/>
                  </w14:solidFill>
                </w14:textFill>
              </w:rPr>
              <w:t>）</w:t>
            </w:r>
          </w:p>
        </w:tc>
        <w:tc>
          <w:tcPr>
            <w:tcW w:w="332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63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温度补偿精度</w:t>
            </w:r>
          </w:p>
        </w:tc>
        <w:tc>
          <w:tcPr>
            <w:tcW w:w="332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63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MTBF</w:t>
            </w:r>
          </w:p>
        </w:tc>
        <w:tc>
          <w:tcPr>
            <w:tcW w:w="332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≥720h/次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63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实际水样比对试验</w:t>
            </w:r>
          </w:p>
        </w:tc>
        <w:tc>
          <w:tcPr>
            <w:tcW w:w="332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63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防护等级</w:t>
            </w:r>
          </w:p>
        </w:tc>
        <w:tc>
          <w:tcPr>
            <w:tcW w:w="332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≥IP65</w:t>
            </w:r>
          </w:p>
        </w:tc>
      </w:tr>
    </w:tbl>
    <w:p>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（5）浊度水质自动分析仪</w:t>
      </w:r>
    </w:p>
    <w:tbl>
      <w:tblPr>
        <w:tblStyle w:val="7"/>
        <w:tblW w:w="59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3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blHeader/>
          <w:jc w:val="center"/>
        </w:trPr>
        <w:tc>
          <w:tcPr>
            <w:tcW w:w="2758"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w:t>
            </w:r>
          </w:p>
        </w:tc>
        <w:tc>
          <w:tcPr>
            <w:tcW w:w="3219"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758"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测定原理</w:t>
            </w:r>
          </w:p>
        </w:tc>
        <w:tc>
          <w:tcPr>
            <w:tcW w:w="3219"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光散射法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758"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量程</w:t>
            </w:r>
          </w:p>
        </w:tc>
        <w:tc>
          <w:tcPr>
            <w:tcW w:w="3219"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0～1000NTU，可调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758"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重复性</w:t>
            </w:r>
          </w:p>
        </w:tc>
        <w:tc>
          <w:tcPr>
            <w:tcW w:w="3219"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758"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零点漂移</w:t>
            </w:r>
          </w:p>
        </w:tc>
        <w:tc>
          <w:tcPr>
            <w:tcW w:w="3219"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758"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量程漂移</w:t>
            </w:r>
          </w:p>
        </w:tc>
        <w:tc>
          <w:tcPr>
            <w:tcW w:w="3219"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758"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线性误差</w:t>
            </w:r>
          </w:p>
        </w:tc>
        <w:tc>
          <w:tcPr>
            <w:tcW w:w="3219"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758"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MTBF</w:t>
            </w:r>
          </w:p>
        </w:tc>
        <w:tc>
          <w:tcPr>
            <w:tcW w:w="3219"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≥720h/次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758"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实际水样比对试验</w:t>
            </w:r>
          </w:p>
        </w:tc>
        <w:tc>
          <w:tcPr>
            <w:tcW w:w="3219"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758"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防护等级</w:t>
            </w:r>
          </w:p>
        </w:tc>
        <w:tc>
          <w:tcPr>
            <w:tcW w:w="3219"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≥IP65</w:t>
            </w:r>
          </w:p>
        </w:tc>
      </w:tr>
    </w:tbl>
    <w:p>
      <w:pPr>
        <w:keepNext/>
        <w:spacing w:line="360" w:lineRule="auto"/>
        <w:contextualSpacing/>
        <w:outlineLvl w:val="2"/>
        <w:rPr>
          <w:rFonts w:ascii="宋体" w:hAnsi="宋体" w:cs="宋体"/>
          <w:color w:val="000000" w:themeColor="text1"/>
          <w:szCs w:val="21"/>
          <w:highlight w:val="none"/>
          <w14:textFill>
            <w14:solidFill>
              <w14:schemeClr w14:val="tx1"/>
            </w14:solidFill>
          </w14:textFill>
        </w:rPr>
      </w:pPr>
      <w:bookmarkStart w:id="23" w:name="_Toc505184820"/>
      <w:bookmarkStart w:id="24" w:name="_Toc505252669"/>
      <w:r>
        <w:rPr>
          <w:rFonts w:hint="eastAsia" w:ascii="宋体" w:hAnsi="宋体" w:cs="宋体"/>
          <w:color w:val="000000" w:themeColor="text1"/>
          <w:szCs w:val="21"/>
          <w:highlight w:val="none"/>
          <w14:textFill>
            <w14:solidFill>
              <w14:schemeClr w14:val="tx1"/>
            </w14:solidFill>
          </w14:textFill>
        </w:rPr>
        <w:t>2.2.2氨氮水质自动</w:t>
      </w:r>
      <w:r>
        <w:rPr>
          <w:rFonts w:hint="eastAsia" w:ascii="宋体" w:hAnsi="宋体" w:cs="宋体"/>
          <w:bCs/>
          <w:color w:val="000000" w:themeColor="text1"/>
          <w:szCs w:val="21"/>
          <w:highlight w:val="none"/>
          <w14:textFill>
            <w14:solidFill>
              <w14:schemeClr w14:val="tx1"/>
            </w14:solidFill>
          </w14:textFill>
        </w:rPr>
        <w:t>分析</w:t>
      </w:r>
      <w:r>
        <w:rPr>
          <w:rFonts w:hint="eastAsia" w:ascii="宋体" w:hAnsi="宋体" w:cs="宋体"/>
          <w:color w:val="000000" w:themeColor="text1"/>
          <w:szCs w:val="21"/>
          <w:highlight w:val="none"/>
          <w14:textFill>
            <w14:solidFill>
              <w14:schemeClr w14:val="tx1"/>
            </w14:solidFill>
          </w14:textFill>
        </w:rPr>
        <w:t>仪</w:t>
      </w:r>
      <w:bookmarkEnd w:id="23"/>
      <w:bookmarkEnd w:id="24"/>
    </w:p>
    <w:tbl>
      <w:tblPr>
        <w:tblStyle w:val="7"/>
        <w:tblW w:w="62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546"/>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blHeader/>
          <w:jc w:val="center"/>
        </w:trPr>
        <w:tc>
          <w:tcPr>
            <w:tcW w:w="1838"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w:t>
            </w:r>
          </w:p>
        </w:tc>
        <w:tc>
          <w:tcPr>
            <w:tcW w:w="4457" w:type="dxa"/>
            <w:gridSpan w:val="2"/>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1838"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测定原理</w:t>
            </w:r>
          </w:p>
        </w:tc>
        <w:tc>
          <w:tcPr>
            <w:tcW w:w="4457" w:type="dxa"/>
            <w:gridSpan w:val="2"/>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纳氏试剂分光光度法或水杨酸分光光度法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838"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量程</w:t>
            </w:r>
          </w:p>
        </w:tc>
        <w:tc>
          <w:tcPr>
            <w:tcW w:w="4457" w:type="dxa"/>
            <w:gridSpan w:val="2"/>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0～10 mg/L，可调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838"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零点漂移</w:t>
            </w:r>
          </w:p>
        </w:tc>
        <w:tc>
          <w:tcPr>
            <w:tcW w:w="4457" w:type="dxa"/>
            <w:gridSpan w:val="2"/>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≤0.02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838"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量程漂移</w:t>
            </w:r>
          </w:p>
        </w:tc>
        <w:tc>
          <w:tcPr>
            <w:tcW w:w="4457" w:type="dxa"/>
            <w:gridSpan w:val="2"/>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38" w:type="dxa"/>
            <w:vMerge w:val="restart"/>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示值误差</w:t>
            </w:r>
          </w:p>
        </w:tc>
        <w:tc>
          <w:tcPr>
            <w:tcW w:w="2546"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标液浓度为2.0 mg/L时</w:t>
            </w:r>
          </w:p>
        </w:tc>
        <w:tc>
          <w:tcPr>
            <w:tcW w:w="1911"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1838" w:type="dxa"/>
            <w:vMerge w:val="continue"/>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2546"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标液浓度为5.0 mg/L时</w:t>
            </w:r>
          </w:p>
        </w:tc>
        <w:tc>
          <w:tcPr>
            <w:tcW w:w="1911"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38" w:type="dxa"/>
            <w:vMerge w:val="continue"/>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2546"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标液浓度为8.0 mg/L时</w:t>
            </w:r>
          </w:p>
        </w:tc>
        <w:tc>
          <w:tcPr>
            <w:tcW w:w="1911"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1838"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重复性</w:t>
            </w:r>
          </w:p>
        </w:tc>
        <w:tc>
          <w:tcPr>
            <w:tcW w:w="4457" w:type="dxa"/>
            <w:gridSpan w:val="2"/>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1838" w:type="dxa"/>
            <w:vMerge w:val="restart"/>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记忆效应</w:t>
            </w:r>
          </w:p>
        </w:tc>
        <w:tc>
          <w:tcPr>
            <w:tcW w:w="2546"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标液浓度为2.0 mg/L时</w:t>
            </w:r>
          </w:p>
        </w:tc>
        <w:tc>
          <w:tcPr>
            <w:tcW w:w="1911"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0.3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1838" w:type="dxa"/>
            <w:vMerge w:val="continue"/>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2546"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标液浓度为8.0 mg/L时</w:t>
            </w:r>
          </w:p>
        </w:tc>
        <w:tc>
          <w:tcPr>
            <w:tcW w:w="1911"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0.2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1838"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检出限</w:t>
            </w:r>
          </w:p>
        </w:tc>
        <w:tc>
          <w:tcPr>
            <w:tcW w:w="4457" w:type="dxa"/>
            <w:gridSpan w:val="2"/>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≤0.05mg/L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838"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pH干扰试验</w:t>
            </w:r>
          </w:p>
        </w:tc>
        <w:tc>
          <w:tcPr>
            <w:tcW w:w="4457" w:type="dxa"/>
            <w:gridSpan w:val="2"/>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838" w:type="dxa"/>
            <w:vMerge w:val="restart"/>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实际水样比对试验</w:t>
            </w:r>
          </w:p>
        </w:tc>
        <w:tc>
          <w:tcPr>
            <w:tcW w:w="2546"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水样浓度&lt;2.0 mg/L</w:t>
            </w:r>
          </w:p>
        </w:tc>
        <w:tc>
          <w:tcPr>
            <w:tcW w:w="1911"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1838" w:type="dxa"/>
            <w:vMerge w:val="continue"/>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2546"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水样浓度≥2.0 mg/L</w:t>
            </w:r>
          </w:p>
        </w:tc>
        <w:tc>
          <w:tcPr>
            <w:tcW w:w="1911"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1838"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最小维护周期</w:t>
            </w:r>
          </w:p>
        </w:tc>
        <w:tc>
          <w:tcPr>
            <w:tcW w:w="4457" w:type="dxa"/>
            <w:gridSpan w:val="2"/>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≥168h</w:t>
            </w:r>
          </w:p>
        </w:tc>
      </w:tr>
    </w:tbl>
    <w:p>
      <w:pPr>
        <w:keepNext/>
        <w:spacing w:line="360" w:lineRule="auto"/>
        <w:contextualSpacing/>
        <w:outlineLvl w:val="2"/>
        <w:rPr>
          <w:rFonts w:ascii="宋体" w:hAnsi="宋体" w:cs="宋体"/>
          <w:color w:val="000000" w:themeColor="text1"/>
          <w:szCs w:val="21"/>
          <w:highlight w:val="none"/>
          <w14:textFill>
            <w14:solidFill>
              <w14:schemeClr w14:val="tx1"/>
            </w14:solidFill>
          </w14:textFill>
        </w:rPr>
      </w:pPr>
      <w:bookmarkStart w:id="25" w:name="_Toc505184821"/>
      <w:bookmarkStart w:id="26" w:name="_Toc505252670"/>
      <w:r>
        <w:rPr>
          <w:rFonts w:hint="eastAsia" w:ascii="宋体" w:hAnsi="宋体" w:cs="宋体"/>
          <w:color w:val="000000" w:themeColor="text1"/>
          <w:szCs w:val="21"/>
          <w:highlight w:val="none"/>
          <w14:textFill>
            <w14:solidFill>
              <w14:schemeClr w14:val="tx1"/>
            </w14:solidFill>
          </w14:textFill>
        </w:rPr>
        <w:t>2.2.3高锰酸盐指数水质自动分析仪</w:t>
      </w:r>
      <w:bookmarkEnd w:id="25"/>
      <w:bookmarkEnd w:id="26"/>
    </w:p>
    <w:tbl>
      <w:tblPr>
        <w:tblStyle w:val="7"/>
        <w:tblW w:w="59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3"/>
        <w:gridCol w:w="2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blHeader/>
          <w:jc w:val="center"/>
        </w:trPr>
        <w:tc>
          <w:tcPr>
            <w:tcW w:w="3053"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w:t>
            </w:r>
          </w:p>
        </w:tc>
        <w:tc>
          <w:tcPr>
            <w:tcW w:w="2944"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3053"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测定原理</w:t>
            </w:r>
          </w:p>
        </w:tc>
        <w:tc>
          <w:tcPr>
            <w:tcW w:w="2944"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高锰酸钾氧化法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3053"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量程</w:t>
            </w:r>
          </w:p>
        </w:tc>
        <w:tc>
          <w:tcPr>
            <w:tcW w:w="2944"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0～20mg/L，可调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3053"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零点漂移</w:t>
            </w:r>
          </w:p>
        </w:tc>
        <w:tc>
          <w:tcPr>
            <w:tcW w:w="2944"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3053"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量程漂移</w:t>
            </w:r>
          </w:p>
        </w:tc>
        <w:tc>
          <w:tcPr>
            <w:tcW w:w="2944"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3053"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葡萄糖试验</w:t>
            </w:r>
          </w:p>
        </w:tc>
        <w:tc>
          <w:tcPr>
            <w:tcW w:w="2944"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±5%（测量误差）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3053"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重复性</w:t>
            </w:r>
          </w:p>
        </w:tc>
        <w:tc>
          <w:tcPr>
            <w:tcW w:w="2944"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3053"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检出限</w:t>
            </w:r>
          </w:p>
        </w:tc>
        <w:tc>
          <w:tcPr>
            <w:tcW w:w="2944"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3053"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MTBF</w:t>
            </w:r>
          </w:p>
        </w:tc>
        <w:tc>
          <w:tcPr>
            <w:tcW w:w="2944"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≥720 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3053"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实际水样比对试验</w:t>
            </w:r>
          </w:p>
        </w:tc>
        <w:tc>
          <w:tcPr>
            <w:tcW w:w="2944"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r>
    </w:tbl>
    <w:p>
      <w:pPr>
        <w:keepNext/>
        <w:spacing w:line="360" w:lineRule="auto"/>
        <w:contextualSpacing/>
        <w:outlineLvl w:val="2"/>
        <w:rPr>
          <w:rFonts w:ascii="宋体" w:hAnsi="宋体" w:cs="宋体"/>
          <w:color w:val="000000" w:themeColor="text1"/>
          <w:szCs w:val="21"/>
          <w:highlight w:val="none"/>
          <w14:textFill>
            <w14:solidFill>
              <w14:schemeClr w14:val="tx1"/>
            </w14:solidFill>
          </w14:textFill>
        </w:rPr>
      </w:pPr>
      <w:bookmarkStart w:id="27" w:name="_Toc505184822"/>
      <w:bookmarkStart w:id="28" w:name="_Toc505252671"/>
      <w:r>
        <w:rPr>
          <w:rFonts w:hint="eastAsia" w:ascii="宋体" w:hAnsi="宋体" w:cs="宋体"/>
          <w:color w:val="000000" w:themeColor="text1"/>
          <w:szCs w:val="21"/>
          <w:highlight w:val="none"/>
          <w14:textFill>
            <w14:solidFill>
              <w14:schemeClr w14:val="tx1"/>
            </w14:solidFill>
          </w14:textFill>
        </w:rPr>
        <w:t>2.2.4总磷水质自动分析仪</w:t>
      </w:r>
      <w:bookmarkEnd w:id="27"/>
      <w:bookmarkEnd w:id="28"/>
    </w:p>
    <w:tbl>
      <w:tblPr>
        <w:tblStyle w:val="7"/>
        <w:tblW w:w="6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1"/>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93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w:t>
            </w:r>
          </w:p>
        </w:tc>
        <w:tc>
          <w:tcPr>
            <w:tcW w:w="3100"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93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测定原理</w:t>
            </w:r>
          </w:p>
        </w:tc>
        <w:tc>
          <w:tcPr>
            <w:tcW w:w="3100"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钼酸铵分光光度法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293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量程</w:t>
            </w:r>
          </w:p>
        </w:tc>
        <w:tc>
          <w:tcPr>
            <w:tcW w:w="3100"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0～2mg/L，可调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93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零点漂移</w:t>
            </w:r>
          </w:p>
        </w:tc>
        <w:tc>
          <w:tcPr>
            <w:tcW w:w="3100"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93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量程漂移</w:t>
            </w:r>
          </w:p>
        </w:tc>
        <w:tc>
          <w:tcPr>
            <w:tcW w:w="3100"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93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直线性</w:t>
            </w:r>
          </w:p>
        </w:tc>
        <w:tc>
          <w:tcPr>
            <w:tcW w:w="3100"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93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重复性</w:t>
            </w:r>
          </w:p>
        </w:tc>
        <w:tc>
          <w:tcPr>
            <w:tcW w:w="3100"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93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检出限</w:t>
            </w:r>
          </w:p>
        </w:tc>
        <w:tc>
          <w:tcPr>
            <w:tcW w:w="3100"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93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MTBF</w:t>
            </w:r>
          </w:p>
        </w:tc>
        <w:tc>
          <w:tcPr>
            <w:tcW w:w="3100"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≥720h/次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931"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实际水样比对试验</w:t>
            </w:r>
          </w:p>
        </w:tc>
        <w:tc>
          <w:tcPr>
            <w:tcW w:w="3100" w:type="dxa"/>
            <w:tcBorders>
              <w:tl2br w:val="nil"/>
              <w:tr2bl w:val="nil"/>
            </w:tcBorders>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r>
    </w:tbl>
    <w:p>
      <w:pPr>
        <w:keepNext/>
        <w:spacing w:line="360" w:lineRule="auto"/>
        <w:contextualSpacing/>
        <w:outlineLvl w:val="2"/>
        <w:rPr>
          <w:rFonts w:ascii="宋体" w:hAnsi="宋体" w:cs="宋体"/>
          <w:color w:val="000000" w:themeColor="text1"/>
          <w:szCs w:val="21"/>
          <w:highlight w:val="none"/>
          <w14:textFill>
            <w14:solidFill>
              <w14:schemeClr w14:val="tx1"/>
            </w14:solidFill>
          </w14:textFill>
        </w:rPr>
      </w:pPr>
      <w:bookmarkStart w:id="29" w:name="_Toc505184823"/>
      <w:bookmarkStart w:id="30" w:name="_Toc505252672"/>
      <w:r>
        <w:rPr>
          <w:rFonts w:hint="eastAsia" w:ascii="宋体" w:hAnsi="宋体" w:cs="宋体"/>
          <w:color w:val="000000" w:themeColor="text1"/>
          <w:szCs w:val="21"/>
          <w:highlight w:val="none"/>
          <w14:textFill>
            <w14:solidFill>
              <w14:schemeClr w14:val="tx1"/>
            </w14:solidFill>
          </w14:textFill>
        </w:rPr>
        <w:t>2.2.5总氮水质自动分析仪</w:t>
      </w:r>
      <w:bookmarkEnd w:id="29"/>
      <w:bookmarkEnd w:id="30"/>
    </w:p>
    <w:tbl>
      <w:tblPr>
        <w:tblStyle w:val="7"/>
        <w:tblW w:w="60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836"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w:t>
            </w:r>
          </w:p>
        </w:tc>
        <w:tc>
          <w:tcPr>
            <w:tcW w:w="3191"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836"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测定原理</w:t>
            </w:r>
          </w:p>
        </w:tc>
        <w:tc>
          <w:tcPr>
            <w:tcW w:w="3191"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过硫酸钾消解-紫外分光光度法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836"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量程</w:t>
            </w:r>
          </w:p>
        </w:tc>
        <w:tc>
          <w:tcPr>
            <w:tcW w:w="3191"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0～20mg/L，可调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836"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零点漂移</w:t>
            </w:r>
          </w:p>
        </w:tc>
        <w:tc>
          <w:tcPr>
            <w:tcW w:w="3191"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836"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量程漂移</w:t>
            </w:r>
          </w:p>
        </w:tc>
        <w:tc>
          <w:tcPr>
            <w:tcW w:w="3191"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836"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直线性</w:t>
            </w:r>
          </w:p>
        </w:tc>
        <w:tc>
          <w:tcPr>
            <w:tcW w:w="3191"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836"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重复性</w:t>
            </w:r>
          </w:p>
        </w:tc>
        <w:tc>
          <w:tcPr>
            <w:tcW w:w="3191"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836"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检出限</w:t>
            </w:r>
          </w:p>
        </w:tc>
        <w:tc>
          <w:tcPr>
            <w:tcW w:w="3191"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836"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MTBF</w:t>
            </w:r>
          </w:p>
        </w:tc>
        <w:tc>
          <w:tcPr>
            <w:tcW w:w="3191"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≥720h/次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836"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实际水样比对试验</w:t>
            </w:r>
          </w:p>
        </w:tc>
        <w:tc>
          <w:tcPr>
            <w:tcW w:w="3191"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r>
    </w:tbl>
    <w:p>
      <w:pPr>
        <w:pStyle w:val="3"/>
        <w:widowControl/>
        <w:spacing w:before="0"/>
        <w:jc w:val="left"/>
        <w:rPr>
          <w:rFonts w:ascii="宋体" w:hAnsi="宋体" w:cs="宋体"/>
          <w:b w:val="0"/>
          <w:color w:val="000000" w:themeColor="text1"/>
          <w:sz w:val="21"/>
          <w:szCs w:val="21"/>
          <w:highlight w:val="none"/>
          <w14:textFill>
            <w14:solidFill>
              <w14:schemeClr w14:val="tx1"/>
            </w14:solidFill>
          </w14:textFill>
        </w:rPr>
      </w:pPr>
      <w:bookmarkStart w:id="31" w:name="_Toc504040667"/>
      <w:bookmarkStart w:id="32" w:name="_Toc504940938"/>
      <w:bookmarkStart w:id="33" w:name="_Toc505184826"/>
      <w:bookmarkStart w:id="34" w:name="_Toc505252675"/>
      <w:bookmarkStart w:id="35" w:name="_Toc502229133"/>
      <w:bookmarkStart w:id="36" w:name="_Toc502007573"/>
      <w:r>
        <w:rPr>
          <w:rFonts w:hint="eastAsia" w:ascii="宋体" w:hAnsi="宋体" w:cs="宋体"/>
          <w:b w:val="0"/>
          <w:color w:val="000000" w:themeColor="text1"/>
          <w:sz w:val="21"/>
          <w:szCs w:val="21"/>
          <w:highlight w:val="none"/>
          <w14:textFill>
            <w14:solidFill>
              <w14:schemeClr w14:val="tx1"/>
            </w14:solidFill>
          </w14:textFill>
        </w:rPr>
        <w:t>三、水站系统集成要求</w:t>
      </w:r>
      <w:bookmarkEnd w:id="31"/>
      <w:bookmarkEnd w:id="32"/>
      <w:bookmarkEnd w:id="33"/>
      <w:bookmarkEnd w:id="34"/>
      <w:bookmarkEnd w:id="35"/>
      <w:bookmarkEnd w:id="36"/>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水站系统集成主要包括采水单元、配水及预处理单元、控制单元、分析单元、留样单元、辅助单元等。</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投标人须提供合理、先进、完整的系统集成方案，具备智能化、标准化、流程化和可溯源的质量控制体系，确保采水、预处理、分析、质控、清洗以及数据采集和传输等环节的准确可靠。</w:t>
      </w:r>
    </w:p>
    <w:p>
      <w:pPr>
        <w:pStyle w:val="3"/>
        <w:widowControl/>
        <w:tabs>
          <w:tab w:val="left" w:pos="420"/>
        </w:tabs>
        <w:spacing w:before="0"/>
        <w:jc w:val="left"/>
        <w:rPr>
          <w:rFonts w:ascii="宋体" w:hAnsi="宋体" w:cs="宋体"/>
          <w:b w:val="0"/>
          <w:color w:val="000000" w:themeColor="text1"/>
          <w:sz w:val="21"/>
          <w:szCs w:val="21"/>
          <w:highlight w:val="none"/>
          <w14:textFill>
            <w14:solidFill>
              <w14:schemeClr w14:val="tx1"/>
            </w14:solidFill>
          </w14:textFill>
        </w:rPr>
      </w:pPr>
      <w:bookmarkStart w:id="37" w:name="_Toc505252676"/>
      <w:bookmarkStart w:id="38" w:name="_Toc505184827"/>
      <w:bookmarkStart w:id="39" w:name="_Toc504940939"/>
      <w:r>
        <w:rPr>
          <w:rFonts w:hint="eastAsia" w:ascii="宋体" w:hAnsi="宋体" w:cs="宋体"/>
          <w:b w:val="0"/>
          <w:color w:val="000000" w:themeColor="text1"/>
          <w:sz w:val="21"/>
          <w:szCs w:val="21"/>
          <w:highlight w:val="none"/>
          <w14:textFill>
            <w14:solidFill>
              <w14:schemeClr w14:val="tx1"/>
            </w14:solidFill>
          </w14:textFill>
        </w:rPr>
        <w:t>3.1.系统集成功能要求</w:t>
      </w:r>
      <w:bookmarkEnd w:id="37"/>
      <w:bookmarkEnd w:id="38"/>
      <w:bookmarkEnd w:id="39"/>
    </w:p>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（1）具有仪器及系统运行周期（连续或间歇）设置功能，至少具备常规、应急、质控等多种运行模式；</w:t>
      </w:r>
    </w:p>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（2）具有异常信息记录、上传功能，如采水故障、部件故障、超量程报警、超标报警、缺试剂报警等信息；</w:t>
      </w:r>
    </w:p>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（3）具有仪器关键参数上传、远程设置功能，能接受远程控制指令；</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（4）能够实现对高锰酸盐指数、氨氮、总磷和总氮水质自动分析仪器进行自动标样核查、自动加标回收率测试等质控功能，并具备</w:t>
      </w:r>
      <w:r>
        <w:rPr>
          <w:rFonts w:hint="eastAsia" w:ascii="宋体" w:hAnsi="宋体" w:cs="宋体"/>
          <w:color w:val="000000" w:themeColor="text1"/>
          <w:szCs w:val="21"/>
          <w:highlight w:val="none"/>
          <w14:textFill>
            <w14:solidFill>
              <w14:schemeClr w14:val="tx1"/>
            </w14:solidFill>
          </w14:textFill>
        </w:rPr>
        <w:t>自动留样功能</w:t>
      </w:r>
      <w:r>
        <w:rPr>
          <w:rFonts w:hint="eastAsia" w:ascii="宋体" w:hAnsi="宋体" w:cs="宋体"/>
          <w:color w:val="000000" w:themeColor="text1"/>
          <w:kern w:val="0"/>
          <w:szCs w:val="21"/>
          <w:highlight w:val="none"/>
          <w14:textFill>
            <w14:solidFill>
              <w14:schemeClr w14:val="tx1"/>
            </w14:solidFill>
          </w14:textFill>
        </w:rPr>
        <w:t>；</w:t>
      </w:r>
    </w:p>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（5）确保仪器、系统运行的监测数据和状态信息等稳定传输；</w:t>
      </w:r>
    </w:p>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（6）具备断电再度通电后自动排空水样和试剂、自动清洗管路、自动复位到待机状态的功能；</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（7）具有分析仪器及系统过程日志记录和环境参数记录功能，并能够上传至中心平台；</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（8）存储不少于1年的原始数据和运行日志；</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（9）水质自动分析仪器（常规五参数外）及控制单元须具有三级管理权限；</w:t>
      </w:r>
    </w:p>
    <w:p>
      <w:pPr>
        <w:snapToGrid w:val="0"/>
        <w:spacing w:line="360" w:lineRule="auto"/>
        <w:ind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（10）系统应具有良好的扩展性和兼容性，根据实际应用需要，可增加新的监测参数，并方便仪器安装与接入。</w:t>
      </w:r>
    </w:p>
    <w:p>
      <w:pPr>
        <w:pStyle w:val="3"/>
        <w:widowControl/>
        <w:tabs>
          <w:tab w:val="left" w:pos="420"/>
        </w:tabs>
        <w:spacing w:before="0"/>
        <w:jc w:val="left"/>
        <w:rPr>
          <w:rFonts w:ascii="宋体" w:hAnsi="宋体" w:cs="宋体"/>
          <w:b w:val="0"/>
          <w:color w:val="000000" w:themeColor="text1"/>
          <w:sz w:val="21"/>
          <w:szCs w:val="21"/>
          <w:highlight w:val="none"/>
          <w14:textFill>
            <w14:solidFill>
              <w14:schemeClr w14:val="tx1"/>
            </w14:solidFill>
          </w14:textFill>
        </w:rPr>
      </w:pPr>
      <w:bookmarkStart w:id="40" w:name="_Toc504940940"/>
      <w:bookmarkStart w:id="41" w:name="_Toc505184828"/>
      <w:bookmarkStart w:id="42" w:name="_Toc505252677"/>
      <w:r>
        <w:rPr>
          <w:rFonts w:hint="eastAsia" w:ascii="宋体" w:hAnsi="宋体" w:cs="宋体"/>
          <w:b w:val="0"/>
          <w:color w:val="000000" w:themeColor="text1"/>
          <w:sz w:val="21"/>
          <w:szCs w:val="21"/>
          <w:highlight w:val="none"/>
          <w14:textFill>
            <w14:solidFill>
              <w14:schemeClr w14:val="tx1"/>
            </w14:solidFill>
          </w14:textFill>
        </w:rPr>
        <w:t>3.2 系统集成技术要求</w:t>
      </w:r>
      <w:bookmarkEnd w:id="40"/>
      <w:bookmarkEnd w:id="41"/>
      <w:bookmarkEnd w:id="42"/>
    </w:p>
    <w:p>
      <w:pPr>
        <w:spacing w:line="360" w:lineRule="auto"/>
        <w:ind w:firstLine="562"/>
        <w:outlineLvl w:val="2"/>
        <w:rPr>
          <w:rFonts w:ascii="宋体" w:hAnsi="宋体" w:cs="宋体"/>
          <w:color w:val="000000" w:themeColor="text1"/>
          <w:szCs w:val="21"/>
          <w:highlight w:val="none"/>
          <w14:textFill>
            <w14:solidFill>
              <w14:schemeClr w14:val="tx1"/>
            </w14:solidFill>
          </w14:textFill>
        </w:rPr>
      </w:pPr>
      <w:bookmarkStart w:id="43" w:name="_Toc501464498"/>
      <w:bookmarkStart w:id="44" w:name="_Toc504040670"/>
      <w:bookmarkStart w:id="45" w:name="_Toc502007577"/>
      <w:bookmarkStart w:id="46" w:name="_Toc502229137"/>
      <w:bookmarkStart w:id="47" w:name="_Toc505184829"/>
      <w:bookmarkStart w:id="48" w:name="_Toc501464733"/>
      <w:bookmarkStart w:id="49" w:name="_Toc505252678"/>
      <w:r>
        <w:rPr>
          <w:rFonts w:hint="eastAsia" w:ascii="宋体" w:hAnsi="宋体" w:cs="宋体"/>
          <w:color w:val="000000" w:themeColor="text1"/>
          <w:szCs w:val="21"/>
          <w:highlight w:val="none"/>
          <w14:textFill>
            <w14:solidFill>
              <w14:schemeClr w14:val="tx1"/>
            </w14:solidFill>
          </w14:textFill>
        </w:rPr>
        <w:t>3.2.1采水单元</w:t>
      </w:r>
      <w:bookmarkEnd w:id="43"/>
      <w:bookmarkEnd w:id="44"/>
      <w:bookmarkEnd w:id="45"/>
      <w:bookmarkEnd w:id="46"/>
      <w:bookmarkEnd w:id="47"/>
      <w:bookmarkEnd w:id="48"/>
      <w:bookmarkEnd w:id="49"/>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投标人中标后须经过与水站所在地方环保部门协商后，根据每个站点具体水文和地质情况给出合理的采水单元设计方案，保证采样的代表性和科学性。</w:t>
      </w:r>
    </w:p>
    <w:p>
      <w:pPr>
        <w:tabs>
          <w:tab w:val="left" w:pos="840"/>
        </w:tabs>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(1)充分考虑水位落差对取水的影响，避免取水口设置在死水区，确保取水深度在水面以下0.5m-1m左右，取水口能随水位变化。</w:t>
      </w:r>
    </w:p>
    <w:p>
      <w:pPr>
        <w:tabs>
          <w:tab w:val="left" w:pos="840"/>
        </w:tabs>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(2)取水口防护网：在采水头外围设计防护隔栅以有效的防止沙石、悬浮物堵塞，采水头具备防藻功能，结构设计易于日常维护。</w:t>
      </w:r>
    </w:p>
    <w:p>
      <w:pPr>
        <w:tabs>
          <w:tab w:val="left" w:pos="840"/>
        </w:tabs>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(3)取水泵：取水泵满足仪器及相应设备的总需水量要求，有足够的输出功率，水泵扬程满足采配水要求。采用双泵双管采水，一备一用，满足实时不间断监测的要求，保证整个系统的正常运行。</w:t>
      </w:r>
    </w:p>
    <w:p>
      <w:pPr>
        <w:tabs>
          <w:tab w:val="left" w:pos="840"/>
        </w:tabs>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(4)警示标志：设置警示灯和警示标志，提示过往船只安全，防止人为破坏。</w:t>
      </w:r>
    </w:p>
    <w:p>
      <w:pPr>
        <w:tabs>
          <w:tab w:val="left" w:pos="840"/>
        </w:tabs>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(5)每个工作过程取水总量不低于各仪表所需水量的200％，并且适当考虑了将来增加分析仪器的可能。在管道最需低点设排空阀。</w:t>
      </w:r>
    </w:p>
    <w:p>
      <w:pPr>
        <w:tabs>
          <w:tab w:val="left" w:pos="840"/>
        </w:tabs>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(6)在配水管路中设置压力或流量监控装置，通过该装置实时监控采水单元的运行状态，具备远程控制采水系统的工作情况的功能，并能通过流量或压力显示采水状态并能报警。</w:t>
      </w:r>
    </w:p>
    <w:p>
      <w:pPr>
        <w:tabs>
          <w:tab w:val="left" w:pos="840"/>
        </w:tabs>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根据各个采水点到站房的距离、地形等实际情况，合理选择潜水泵及合理选择采水管路的大小，以保证采水子系统的进口压力和流速达到整个系统全部仪器的要求，并具有良好的性能，确保采水子系统的稳定运行。</w:t>
      </w:r>
    </w:p>
    <w:p>
      <w:pPr>
        <w:tabs>
          <w:tab w:val="left" w:pos="840"/>
        </w:tabs>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在采水管道上设有清洗水入口，可以通入自来水进行自动反冲洗或由清洗泵使用化学试剂清洗液对全长采样管道进行自动反冲洗。由气动阀的切换可以将清洗水及高压空气通过采水管路冲冼，以消除采样吸头由于长时间运行造成的淤积。</w:t>
      </w:r>
    </w:p>
    <w:p>
      <w:pPr>
        <w:tabs>
          <w:tab w:val="left" w:pos="840"/>
        </w:tabs>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(9)采水子系统中的所有部件均选用优质产品，采水泵采用品牌产品，底部加装支撑装置，保证采水泵在水位较低时不接触水体底部，并不受底部泥沙的影响。保证采水子系统工作的可靠性和使用寿命。</w:t>
      </w:r>
    </w:p>
    <w:p>
      <w:pPr>
        <w:tabs>
          <w:tab w:val="left" w:pos="840"/>
        </w:tabs>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采水管路采用优质磐石胶管、UPVC管等材质稳定的材料，不与水样中被测物产生物理和化学反应，不影响水质变化，管路安装前清洗并密闭以防玷污，采水管路的使用寿命大于10年。采水管路需采取保温、防冻、防腐、防压、防淤、防撞和防盗措施，并对采水设备和设施进行必要的固定。</w:t>
      </w:r>
    </w:p>
    <w:p>
      <w:pPr>
        <w:tabs>
          <w:tab w:val="left" w:pos="840"/>
        </w:tabs>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(11)采水子系统采用连续或间歇方式工作，并能够根据监测要求设定监测频次。</w:t>
      </w:r>
    </w:p>
    <w:p>
      <w:pPr>
        <w:tabs>
          <w:tab w:val="left" w:pos="840"/>
        </w:tabs>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(12)采水系统管路预留有手动原水取水口，方便水样比对实验的采水。</w:t>
      </w:r>
    </w:p>
    <w:p>
      <w:pPr>
        <w:tabs>
          <w:tab w:val="left" w:pos="840"/>
        </w:tabs>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(13)管道采用排空设计，使管道内不存水，配置在线除泥沙装置和灭藻清洗装置，保证系统管路内部免受泥沙和藻类影响，以保证测量的准确性。</w:t>
      </w:r>
    </w:p>
    <w:p>
      <w:pPr>
        <w:spacing w:line="360" w:lineRule="auto"/>
        <w:ind w:firstLine="562"/>
        <w:outlineLvl w:val="2"/>
        <w:rPr>
          <w:rFonts w:ascii="宋体" w:hAnsi="宋体" w:cs="宋体"/>
          <w:color w:val="000000" w:themeColor="text1"/>
          <w:szCs w:val="21"/>
          <w:highlight w:val="none"/>
          <w14:textFill>
            <w14:solidFill>
              <w14:schemeClr w14:val="tx1"/>
            </w14:solidFill>
          </w14:textFill>
        </w:rPr>
      </w:pPr>
      <w:bookmarkStart w:id="50" w:name="_Toc502229138"/>
      <w:bookmarkStart w:id="51" w:name="_Toc504040671"/>
      <w:bookmarkStart w:id="52" w:name="_Toc502007578"/>
      <w:bookmarkStart w:id="53" w:name="_Toc505184830"/>
      <w:bookmarkStart w:id="54" w:name="_Toc501464499"/>
      <w:bookmarkStart w:id="55" w:name="_Toc505252679"/>
      <w:bookmarkStart w:id="56" w:name="_Toc501464734"/>
      <w:r>
        <w:rPr>
          <w:rFonts w:hint="eastAsia" w:ascii="宋体" w:hAnsi="宋体" w:cs="宋体"/>
          <w:color w:val="000000" w:themeColor="text1"/>
          <w:szCs w:val="21"/>
          <w:highlight w:val="none"/>
          <w14:textFill>
            <w14:solidFill>
              <w14:schemeClr w14:val="tx1"/>
            </w14:solidFill>
          </w14:textFill>
        </w:rPr>
        <w:t>3.2.2配水及预处理单元</w:t>
      </w:r>
      <w:bookmarkEnd w:id="50"/>
      <w:bookmarkEnd w:id="51"/>
      <w:bookmarkEnd w:id="52"/>
      <w:bookmarkEnd w:id="53"/>
      <w:bookmarkEnd w:id="54"/>
      <w:bookmarkEnd w:id="55"/>
      <w:bookmarkEnd w:id="56"/>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投标人中标后需提供针对性的配水和预处理方案。</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配水及预处理单元由水样分配单元、预处理装置及管道等组成。实现对分析仪器配水的功能，并具有自动反清（吹）洗和自动除藻功能。预处理单元为不同分析仪器配备预处理装置，常规五参数水质自动分析仪器使用原水直接分析，高锰酸盐指数、氨氮、总氮、总磷分析仪器应根据国家标准分析方法的要求提供相应的预处理方法。</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（1）配水管路设计合理，流向清晰，便于维护；保证仪器分析测试的水样应能代表断面水质情况并满足仪器测试需求；</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（2）配水单元具备自动反清（吹）洗功能，防止菌类和藻类等微生物对样品污染或对系统工作造成不良影响，设计中不使用对环境产生污染的清洗方法；</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（3）配水主管路采用串联方式，各仪器之间管路采用并联方式，每台仪器从各自的取样杯中取水，任何仪器的配水管路出现故障不能影响其他仪器的测试；</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（4）具备可扩展功能，水站预留不少于4台设备的接水口、排水口以及水样比对实验用的手动取水口；</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（5）能配合系统实现水样自动分配、自动预处理、故障自动报警、关键部件工作状态的显示和反控等功能；</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（6）配水单元的所有操作均可通过控制单元实现，并接受平台端的远程控制；</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（7）所选管材机械强度及化学稳定性好、使用寿命长、便于安装维护，不会对水样水质造成影响；管路内径、压力、流量、流速满足仪器分析需要，并留有余量；</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（8）针对泥沙较大水体、暴雨期间、泄洪、丰水期等浊度影响较大的情况，系统应针对性的设计预处理旁路系统，并具备自动切换预处理系统工作功能。</w:t>
      </w:r>
    </w:p>
    <w:p>
      <w:pPr>
        <w:spacing w:line="360" w:lineRule="auto"/>
        <w:ind w:firstLine="562"/>
        <w:outlineLvl w:val="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3.2.3自动清洗维护单元</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由于各监测点位的水质状况不同，有的水中含沙量大。当系统处于长期运转状态时，就会有泥沙留在管路中和藻类滋生，不仅影响管道流量，而且会污染测量样水的水质。为把这些影响降到最小，系统需要增加空压机和臭氧发生器对所有的管路、阀门进行清洗和除藻，保障系统正常运行。</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自动清洗维护单元基本要求：</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（1）所配置的空压机须是无油型低噪声空压机，保证不对分析结果造成影响。</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（2）系统反冲清洗的操作，可以通过现场或远程进行自动或手动控制。</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（3）保证每个测量周期对整体系统进行清洗。</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（4）空压机技术配置参数：无油型空压机；使用压力: 0.8Mpa及以上；气桶容量：12L及以上。</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（5）具备足够的反冲洗能力，保证管道内无泥沙、无藻、管壁无附着物。</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（6）配置在线除泥沙装置和灭藻清洗装置，保证系统管路内部免受泥沙和藻类影响。</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（7）能通过通入自来水和加压清洁水流对采、配水管路和采样吸头进行自动反冲洗。</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（8）冲洗水应保证抽排至不会对监测结果产生影响的区域外。考虑到不对环境造成二次污染，设计中应不使用对环境产生污染的清洗方法。</w:t>
      </w:r>
    </w:p>
    <w:p>
      <w:pPr>
        <w:spacing w:line="360" w:lineRule="auto"/>
        <w:ind w:firstLine="562"/>
        <w:outlineLvl w:val="2"/>
        <w:rPr>
          <w:rFonts w:ascii="宋体" w:hAnsi="宋体" w:cs="宋体"/>
          <w:color w:val="000000" w:themeColor="text1"/>
          <w:szCs w:val="21"/>
          <w:highlight w:val="none"/>
          <w14:textFill>
            <w14:solidFill>
              <w14:schemeClr w14:val="tx1"/>
            </w14:solidFill>
          </w14:textFill>
        </w:rPr>
      </w:pPr>
      <w:bookmarkStart w:id="57" w:name="_Toc504040672"/>
      <w:bookmarkStart w:id="58" w:name="_Toc505252680"/>
      <w:bookmarkStart w:id="59" w:name="_Toc505184831"/>
      <w:bookmarkStart w:id="60" w:name="_Toc502007579"/>
      <w:bookmarkStart w:id="61" w:name="_Toc502229139"/>
      <w:r>
        <w:rPr>
          <w:rFonts w:hint="eastAsia" w:ascii="宋体" w:hAnsi="宋体" w:cs="宋体"/>
          <w:color w:val="000000" w:themeColor="text1"/>
          <w:szCs w:val="21"/>
          <w:highlight w:val="none"/>
          <w14:textFill>
            <w14:solidFill>
              <w14:schemeClr w14:val="tx1"/>
            </w14:solidFill>
          </w14:textFill>
        </w:rPr>
        <w:t>3.2.4控制单元</w:t>
      </w:r>
      <w:bookmarkEnd w:id="57"/>
      <w:bookmarkEnd w:id="58"/>
      <w:bookmarkEnd w:id="59"/>
      <w:bookmarkEnd w:id="60"/>
      <w:bookmarkEnd w:id="61"/>
    </w:p>
    <w:p>
      <w:pPr>
        <w:spacing w:line="360" w:lineRule="auto"/>
        <w:ind w:firstLine="555"/>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控制单元对采水单元、配水及预处理单元、分析单元、留样单元、辅助单元等进行控制，并实现数据采集与传输功能，保证系统连续、可靠和安全运行。</w:t>
      </w:r>
    </w:p>
    <w:p>
      <w:pPr>
        <w:keepNext/>
        <w:spacing w:line="360" w:lineRule="auto"/>
        <w:ind w:firstLine="562"/>
        <w:outlineLvl w:val="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3.2.4.1功能要求</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（1）具有断电保护功能，能够在断电时保存系统参数和历史数据，在来电时自动恢复系统；</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（2）具备自动采集数据功能，包括自动采集水质自动分析仪器数据、集成控制数据等，采集的数据应自动添加数据标识，异常监测数据能自动识别，并主动上传至中心平台；</w:t>
      </w:r>
    </w:p>
    <w:p>
      <w:pPr>
        <w:spacing w:line="360" w:lineRule="auto"/>
        <w:ind w:firstLine="555"/>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（3）具备单点控制功能，能够对单一控制点（阀、泵等）进行调试；</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（4）具备对自动分析仪器的启停、校时、校准、质控测试等控制功能；</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（5）具备对留样单元的留样、排样的控制功能；</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（6）能够兼容视频监控设备并能实现对视频设备进行校时、重新启动、参数设置、软件升级、远程维护等功能；</w:t>
      </w:r>
    </w:p>
    <w:p>
      <w:pPr>
        <w:spacing w:line="360" w:lineRule="auto"/>
        <w:ind w:firstLine="555"/>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（7）具备参数设置功能，能够对小数位、单位、仪器测定上下限、报警（超标）上下限等参数进行设置；</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（8）具备各仪器监测结果、状态参数、运行流程、报警信息等显示的功能；</w:t>
      </w:r>
    </w:p>
    <w:p>
      <w:pPr>
        <w:spacing w:line="360" w:lineRule="auto"/>
        <w:ind w:firstLine="555"/>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（9）具有监测数据查询、导出、自动备份功能，可分类查询水质周期数据、质控数据（空白测试数据、标样核查数据、加标回收率数据等）及其对应的仪器、系统日志流程信息。</w:t>
      </w:r>
    </w:p>
    <w:p>
      <w:pPr>
        <w:keepNext/>
        <w:spacing w:line="360" w:lineRule="auto"/>
        <w:ind w:firstLine="562"/>
        <w:outlineLvl w:val="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3.2.4.2硬件设备技术参数</w:t>
      </w:r>
    </w:p>
    <w:p>
      <w:pPr>
        <w:spacing w:line="360" w:lineRule="auto"/>
        <w:ind w:firstLine="555"/>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（1）工业控制计算机</w:t>
      </w:r>
    </w:p>
    <w:tbl>
      <w:tblPr>
        <w:tblStyle w:val="7"/>
        <w:tblW w:w="76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817"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序号</w:t>
            </w:r>
          </w:p>
        </w:tc>
        <w:tc>
          <w:tcPr>
            <w:tcW w:w="1418"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指标名称</w:t>
            </w:r>
          </w:p>
        </w:tc>
        <w:tc>
          <w:tcPr>
            <w:tcW w:w="5415"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817"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1418"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CPU</w:t>
            </w:r>
          </w:p>
        </w:tc>
        <w:tc>
          <w:tcPr>
            <w:tcW w:w="5415" w:type="dxa"/>
            <w:vAlign w:val="center"/>
          </w:tcPr>
          <w:p>
            <w:pPr>
              <w:widowControl/>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817"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1418"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内存</w:t>
            </w:r>
          </w:p>
        </w:tc>
        <w:tc>
          <w:tcPr>
            <w:tcW w:w="5415" w:type="dxa"/>
            <w:vAlign w:val="center"/>
          </w:tcPr>
          <w:p>
            <w:pPr>
              <w:widowControl/>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817"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1418"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硬盘容量</w:t>
            </w:r>
          </w:p>
        </w:tc>
        <w:tc>
          <w:tcPr>
            <w:tcW w:w="5415" w:type="dxa"/>
            <w:vAlign w:val="center"/>
          </w:tcPr>
          <w:p>
            <w:pPr>
              <w:widowControl/>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817"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1418"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显示器</w:t>
            </w:r>
          </w:p>
        </w:tc>
        <w:tc>
          <w:tcPr>
            <w:tcW w:w="5415" w:type="dxa"/>
            <w:vAlign w:val="center"/>
          </w:tcPr>
          <w:p>
            <w:pPr>
              <w:widowControl/>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≥12英寸（触控屏）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17" w:type="dxa"/>
            <w:vMerge w:val="restart"/>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1418" w:type="dxa"/>
            <w:vMerge w:val="restart"/>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通讯接口</w:t>
            </w:r>
          </w:p>
        </w:tc>
        <w:tc>
          <w:tcPr>
            <w:tcW w:w="5415" w:type="dxa"/>
            <w:vAlign w:val="center"/>
          </w:tcPr>
          <w:p>
            <w:pPr>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RS232/485 COM口，不小于8个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817" w:type="dxa"/>
            <w:vMerge w:val="continue"/>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1418" w:type="dxa"/>
            <w:vMerge w:val="continue"/>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5415" w:type="dxa"/>
            <w:vAlign w:val="center"/>
          </w:tcPr>
          <w:p>
            <w:pPr>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网口，不少于2个</w:t>
            </w:r>
          </w:p>
        </w:tc>
      </w:tr>
    </w:tbl>
    <w:p>
      <w:pPr>
        <w:spacing w:line="360" w:lineRule="auto"/>
        <w:ind w:firstLine="555"/>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（2）可编程控制器（PLC）</w:t>
      </w:r>
    </w:p>
    <w:tbl>
      <w:tblPr>
        <w:tblStyle w:val="7"/>
        <w:tblW w:w="77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13"/>
        <w:gridCol w:w="4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817"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序号</w:t>
            </w:r>
          </w:p>
        </w:tc>
        <w:tc>
          <w:tcPr>
            <w:tcW w:w="2013"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指标名称</w:t>
            </w:r>
          </w:p>
        </w:tc>
        <w:tc>
          <w:tcPr>
            <w:tcW w:w="4892"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817"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2013"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扩展能力</w:t>
            </w:r>
          </w:p>
        </w:tc>
        <w:tc>
          <w:tcPr>
            <w:tcW w:w="4892" w:type="dxa"/>
            <w:vAlign w:val="center"/>
          </w:tcPr>
          <w:p>
            <w:pPr>
              <w:widowControl/>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控制器输入输出接口满足需求且余量不少于4路，以便以后扩展。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817"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2013" w:type="dxa"/>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防雷抗干扰能力</w:t>
            </w:r>
          </w:p>
        </w:tc>
        <w:tc>
          <w:tcPr>
            <w:tcW w:w="4892" w:type="dxa"/>
            <w:vAlign w:val="center"/>
          </w:tcPr>
          <w:p>
            <w:pPr>
              <w:widowControl/>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符合抗电磁辐射、电磁感应的相关规定，具备电源隔离和信号隔离措施。</w:t>
            </w:r>
          </w:p>
        </w:tc>
      </w:tr>
    </w:tbl>
    <w:p>
      <w:pPr>
        <w:spacing w:line="360" w:lineRule="auto"/>
        <w:ind w:firstLine="555"/>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（3）VPN</w:t>
      </w:r>
    </w:p>
    <w:tbl>
      <w:tblPr>
        <w:tblStyle w:val="7"/>
        <w:tblW w:w="78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2963"/>
        <w:gridCol w:w="3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169"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2963"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w:t>
            </w:r>
          </w:p>
        </w:tc>
        <w:tc>
          <w:tcPr>
            <w:tcW w:w="372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169"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963"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网络接口</w:t>
            </w:r>
          </w:p>
        </w:tc>
        <w:tc>
          <w:tcPr>
            <w:tcW w:w="372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4个千兆电口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169"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2963"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防火墙吞吐量</w:t>
            </w:r>
          </w:p>
        </w:tc>
        <w:tc>
          <w:tcPr>
            <w:tcW w:w="372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169"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2963"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最大并发会话数</w:t>
            </w:r>
          </w:p>
        </w:tc>
        <w:tc>
          <w:tcPr>
            <w:tcW w:w="372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169"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2963"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SSLVPN加密速度</w:t>
            </w:r>
          </w:p>
        </w:tc>
        <w:tc>
          <w:tcPr>
            <w:tcW w:w="372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169"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2963"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并发SSL用户数</w:t>
            </w:r>
          </w:p>
        </w:tc>
        <w:tc>
          <w:tcPr>
            <w:tcW w:w="372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169"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2963"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IPSecVPN加密速度</w:t>
            </w:r>
          </w:p>
        </w:tc>
        <w:tc>
          <w:tcPr>
            <w:tcW w:w="372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≥55Mbps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169"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2963"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IPSecVPN隧道数</w:t>
            </w:r>
          </w:p>
        </w:tc>
        <w:tc>
          <w:tcPr>
            <w:tcW w:w="372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169"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2963"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产品尺寸</w:t>
            </w:r>
          </w:p>
        </w:tc>
        <w:tc>
          <w:tcPr>
            <w:tcW w:w="372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标准1U架构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169"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2963"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电源</w:t>
            </w:r>
          </w:p>
        </w:tc>
        <w:tc>
          <w:tcPr>
            <w:tcW w:w="372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1169"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2963"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功能</w:t>
            </w:r>
          </w:p>
        </w:tc>
        <w:tc>
          <w:tcPr>
            <w:tcW w:w="372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支持基于TCP、UDP、ICMP的应用；完整支持主流操作系统（Windows、Linux、Mac）；支持IE、Firefox、Safari、Google Chrome、Opera等主流浏览器；全面支持智能手机、移动终端；支持主流商业加密算法与国密算法；支持虚拟安全桌面；支持跨平台文件共享。</w:t>
            </w:r>
          </w:p>
        </w:tc>
      </w:tr>
    </w:tbl>
    <w:p>
      <w:pPr>
        <w:keepNext/>
        <w:spacing w:line="360" w:lineRule="auto"/>
        <w:ind w:firstLine="562"/>
        <w:outlineLvl w:val="3"/>
        <w:rPr>
          <w:rFonts w:ascii="宋体" w:hAnsi="宋体" w:cs="宋体"/>
          <w:color w:val="000000" w:themeColor="text1"/>
          <w:szCs w:val="21"/>
          <w:highlight w:val="none"/>
          <w14:textFill>
            <w14:solidFill>
              <w14:schemeClr w14:val="tx1"/>
            </w14:solidFill>
          </w14:textFill>
        </w:rPr>
      </w:pPr>
      <w:bookmarkStart w:id="62" w:name="_Toc502229142"/>
      <w:r>
        <w:rPr>
          <w:rFonts w:hint="eastAsia" w:ascii="宋体" w:hAnsi="宋体" w:cs="宋体"/>
          <w:color w:val="000000" w:themeColor="text1"/>
          <w:szCs w:val="21"/>
          <w:highlight w:val="none"/>
          <w14:textFill>
            <w14:solidFill>
              <w14:schemeClr w14:val="tx1"/>
            </w14:solidFill>
          </w14:textFill>
        </w:rPr>
        <w:t>3.2.4.3数据采集与传输</w:t>
      </w:r>
      <w:bookmarkEnd w:id="62"/>
      <w:r>
        <w:rPr>
          <w:rFonts w:hint="eastAsia" w:ascii="宋体" w:hAnsi="宋体" w:cs="宋体"/>
          <w:color w:val="000000" w:themeColor="text1"/>
          <w:szCs w:val="21"/>
          <w:highlight w:val="none"/>
          <w14:textFill>
            <w14:solidFill>
              <w14:schemeClr w14:val="tx1"/>
            </w14:solidFill>
          </w14:textFill>
        </w:rPr>
        <w:t>单元要求</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（1）采集自动分析仪器的监测数据，并分类保存；</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（2）采集自动分析仪器和集成系统各单元的工作状态量，并以运行日志的形式记录保存；</w:t>
      </w:r>
    </w:p>
    <w:p>
      <w:pPr>
        <w:spacing w:line="360" w:lineRule="auto"/>
        <w:ind w:firstLine="555"/>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（3）能够实时采集视频信息并传输至中心平台；</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（4）断电后能自动保存历史数据和参数设置。</w:t>
      </w:r>
    </w:p>
    <w:p>
      <w:pPr>
        <w:spacing w:line="360" w:lineRule="auto"/>
        <w:ind w:left="560"/>
        <w:contextualSpacing/>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（5）采用无线、有线的通讯方式满足数据传输要求；</w:t>
      </w:r>
    </w:p>
    <w:p>
      <w:pPr>
        <w:spacing w:line="360" w:lineRule="auto"/>
        <w:ind w:left="560"/>
        <w:contextualSpacing/>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（6）采用虚拟专用网络（VPN）数据传输方式；</w:t>
      </w:r>
    </w:p>
    <w:p>
      <w:pPr>
        <w:spacing w:line="360" w:lineRule="auto"/>
        <w:ind w:left="560"/>
        <w:contextualSpacing/>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（7）具备对通信链路的自动诊断功能，具备超时补发功能。</w:t>
      </w:r>
    </w:p>
    <w:p>
      <w:pPr>
        <w:spacing w:line="360" w:lineRule="auto"/>
        <w:ind w:firstLine="562"/>
        <w:outlineLvl w:val="2"/>
        <w:rPr>
          <w:rFonts w:ascii="宋体" w:hAnsi="宋体" w:cs="宋体"/>
          <w:color w:val="000000" w:themeColor="text1"/>
          <w:szCs w:val="21"/>
          <w:highlight w:val="none"/>
          <w14:textFill>
            <w14:solidFill>
              <w14:schemeClr w14:val="tx1"/>
            </w14:solidFill>
          </w14:textFill>
        </w:rPr>
      </w:pPr>
      <w:bookmarkStart w:id="63" w:name="_Toc502229143"/>
      <w:bookmarkStart w:id="64" w:name="_Toc502007582"/>
      <w:bookmarkStart w:id="65" w:name="_Toc505184832"/>
      <w:bookmarkStart w:id="66" w:name="_Toc504040673"/>
      <w:bookmarkStart w:id="67" w:name="_Toc505252681"/>
      <w:r>
        <w:rPr>
          <w:rFonts w:hint="eastAsia" w:ascii="宋体" w:hAnsi="宋体" w:cs="宋体"/>
          <w:color w:val="000000" w:themeColor="text1"/>
          <w:szCs w:val="21"/>
          <w:highlight w:val="none"/>
          <w14:textFill>
            <w14:solidFill>
              <w14:schemeClr w14:val="tx1"/>
            </w14:solidFill>
          </w14:textFill>
        </w:rPr>
        <w:t>3.2.5留样</w:t>
      </w:r>
      <w:bookmarkEnd w:id="63"/>
      <w:bookmarkEnd w:id="64"/>
      <w:r>
        <w:rPr>
          <w:rFonts w:hint="eastAsia" w:ascii="宋体" w:hAnsi="宋体" w:cs="宋体"/>
          <w:color w:val="000000" w:themeColor="text1"/>
          <w:szCs w:val="21"/>
          <w:highlight w:val="none"/>
          <w14:textFill>
            <w14:solidFill>
              <w14:schemeClr w14:val="tx1"/>
            </w14:solidFill>
          </w14:textFill>
        </w:rPr>
        <w:t>单元</w:t>
      </w:r>
      <w:bookmarkEnd w:id="65"/>
      <w:bookmarkEnd w:id="66"/>
      <w:bookmarkEnd w:id="67"/>
    </w:p>
    <w:p>
      <w:pPr>
        <w:pStyle w:val="9"/>
        <w:numPr>
          <w:ilvl w:val="0"/>
          <w:numId w:val="4"/>
        </w:numPr>
        <w:spacing w:line="360" w:lineRule="auto"/>
        <w:ind w:firstLineChars="0"/>
        <w:contextualSpacing/>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具备水样冷藏功能，温度在4±2℃；</w:t>
      </w:r>
    </w:p>
    <w:p>
      <w:pPr>
        <w:pStyle w:val="9"/>
        <w:numPr>
          <w:ilvl w:val="0"/>
          <w:numId w:val="4"/>
        </w:numPr>
        <w:spacing w:line="360" w:lineRule="auto"/>
        <w:ind w:firstLineChars="0"/>
        <w:contextualSpacing/>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留样瓶数≥12个；</w:t>
      </w:r>
    </w:p>
    <w:p>
      <w:pPr>
        <w:pStyle w:val="9"/>
        <w:numPr>
          <w:ilvl w:val="0"/>
          <w:numId w:val="4"/>
        </w:numPr>
        <w:spacing w:line="360" w:lineRule="auto"/>
        <w:ind w:firstLineChars="0"/>
        <w:contextualSpacing/>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留样瓶由惰性材料制成，易清洗，容量应在500mL以上；</w:t>
      </w:r>
    </w:p>
    <w:p>
      <w:pPr>
        <w:pStyle w:val="9"/>
        <w:numPr>
          <w:ilvl w:val="0"/>
          <w:numId w:val="4"/>
        </w:numPr>
        <w:spacing w:line="360" w:lineRule="auto"/>
        <w:ind w:firstLineChars="0"/>
        <w:contextualSpacing/>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留样瓶具有密封功能；</w:t>
      </w:r>
    </w:p>
    <w:p>
      <w:pPr>
        <w:pStyle w:val="9"/>
        <w:numPr>
          <w:ilvl w:val="0"/>
          <w:numId w:val="4"/>
        </w:numPr>
        <w:spacing w:line="360" w:lineRule="auto"/>
        <w:ind w:firstLineChars="0"/>
        <w:contextualSpacing/>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具有留样后自动排空的功能；</w:t>
      </w:r>
    </w:p>
    <w:p>
      <w:pPr>
        <w:pStyle w:val="9"/>
        <w:numPr>
          <w:ilvl w:val="0"/>
          <w:numId w:val="4"/>
        </w:numPr>
        <w:spacing w:line="360" w:lineRule="auto"/>
        <w:ind w:firstLineChars="0"/>
        <w:contextualSpacing/>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配置门禁系统；</w:t>
      </w:r>
    </w:p>
    <w:p>
      <w:pPr>
        <w:pStyle w:val="9"/>
        <w:numPr>
          <w:ilvl w:val="0"/>
          <w:numId w:val="4"/>
        </w:numPr>
        <w:spacing w:line="360" w:lineRule="auto"/>
        <w:ind w:firstLineChars="0"/>
        <w:contextualSpacing/>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具有留样失败报警功能。</w:t>
      </w:r>
    </w:p>
    <w:p>
      <w:pPr>
        <w:spacing w:line="360" w:lineRule="auto"/>
        <w:ind w:firstLine="562"/>
        <w:outlineLvl w:val="2"/>
        <w:rPr>
          <w:rFonts w:ascii="宋体" w:hAnsi="宋体" w:cs="宋体"/>
          <w:color w:val="000000" w:themeColor="text1"/>
          <w:szCs w:val="21"/>
          <w:highlight w:val="none"/>
          <w14:textFill>
            <w14:solidFill>
              <w14:schemeClr w14:val="tx1"/>
            </w14:solidFill>
          </w14:textFill>
        </w:rPr>
      </w:pPr>
      <w:bookmarkStart w:id="68" w:name="_Toc502007584"/>
      <w:bookmarkStart w:id="69" w:name="_Toc505252682"/>
      <w:bookmarkStart w:id="70" w:name="_Toc504040674"/>
      <w:bookmarkStart w:id="71" w:name="_Toc505184833"/>
      <w:bookmarkStart w:id="72" w:name="_Toc502229145"/>
      <w:r>
        <w:rPr>
          <w:rFonts w:hint="eastAsia" w:ascii="宋体" w:hAnsi="宋体" w:cs="宋体"/>
          <w:color w:val="000000" w:themeColor="text1"/>
          <w:szCs w:val="21"/>
          <w:highlight w:val="none"/>
          <w14:textFill>
            <w14:solidFill>
              <w14:schemeClr w14:val="tx1"/>
            </w14:solidFill>
          </w14:textFill>
        </w:rPr>
        <w:t>3.2.6</w:t>
      </w:r>
      <w:bookmarkEnd w:id="68"/>
      <w:bookmarkEnd w:id="69"/>
      <w:bookmarkEnd w:id="70"/>
      <w:bookmarkEnd w:id="71"/>
      <w:bookmarkEnd w:id="72"/>
      <w:r>
        <w:rPr>
          <w:rFonts w:hint="eastAsia" w:ascii="宋体" w:hAnsi="宋体" w:cs="宋体"/>
          <w:color w:val="000000" w:themeColor="text1"/>
          <w:szCs w:val="21"/>
          <w:highlight w:val="none"/>
          <w14:textFill>
            <w14:solidFill>
              <w14:schemeClr w14:val="tx1"/>
            </w14:solidFill>
          </w14:textFill>
        </w:rPr>
        <w:t>视频监控单元</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（1）实现对监测仪器的工作状态、人员的进出情况、取水口/水面和站房周边情况的监控功能。</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（2）每组视频监视设施包括：1套室内球机（监控室内仪表和人员进出情况）、1套室外球机（监控取水口/水面和站房周边情况）、1套硬盘录像机（带1块4T硬盘）、防护设备和配套辅材。</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（3）防护设备包括：电源和网络防雷器。</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（4）工程配套辅材包括：配套线缆、安装支架以及管道等保证系统能够正常连接使用的其它附件。</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（5）站房内摄像机</w:t>
      </w:r>
    </w:p>
    <w:tbl>
      <w:tblPr>
        <w:tblStyle w:val="7"/>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785"/>
        <w:gridCol w:w="5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3061" w:type="dxa"/>
            <w:gridSpan w:val="2"/>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项目名称</w:t>
            </w:r>
          </w:p>
        </w:tc>
        <w:tc>
          <w:tcPr>
            <w:tcW w:w="5249"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76"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机芯</w:t>
            </w:r>
          </w:p>
        </w:tc>
        <w:tc>
          <w:tcPr>
            <w:tcW w:w="1785"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图像传感器 </w:t>
            </w:r>
          </w:p>
        </w:tc>
        <w:tc>
          <w:tcPr>
            <w:tcW w:w="5249"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1/2.8"Progressive Scan CMOS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有效像素 </w:t>
            </w:r>
          </w:p>
        </w:tc>
        <w:tc>
          <w:tcPr>
            <w:tcW w:w="5249"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约250万像素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p>
        </w:tc>
        <w:tc>
          <w:tcPr>
            <w:tcW w:w="1785"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最低照度 </w:t>
            </w:r>
          </w:p>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w:t>
            </w:r>
          </w:p>
        </w:tc>
        <w:tc>
          <w:tcPr>
            <w:tcW w:w="5249"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彩色：0.1Lux @ （F2.0，AGC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p>
        </w:tc>
        <w:tc>
          <w:tcPr>
            <w:tcW w:w="5249"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黑白：0.01Lux @ （F2.0，AGC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信噪比 </w:t>
            </w:r>
          </w:p>
        </w:tc>
        <w:tc>
          <w:tcPr>
            <w:tcW w:w="5249"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大于 52dB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电子快门 </w:t>
            </w:r>
          </w:p>
        </w:tc>
        <w:tc>
          <w:tcPr>
            <w:tcW w:w="5249"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1-1/10000s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日夜模式 </w:t>
            </w:r>
          </w:p>
        </w:tc>
        <w:tc>
          <w:tcPr>
            <w:tcW w:w="5249"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自动ICR 彩转黑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数字变倍 </w:t>
            </w:r>
          </w:p>
        </w:tc>
        <w:tc>
          <w:tcPr>
            <w:tcW w:w="5249"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16倍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聚焦模式 </w:t>
            </w:r>
          </w:p>
        </w:tc>
        <w:tc>
          <w:tcPr>
            <w:tcW w:w="5249"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自动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276"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镜头 </w:t>
            </w:r>
          </w:p>
        </w:tc>
        <w:tc>
          <w:tcPr>
            <w:tcW w:w="1785"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焦距 </w:t>
            </w:r>
          </w:p>
        </w:tc>
        <w:tc>
          <w:tcPr>
            <w:tcW w:w="5249"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3-6mm，2倍变倍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变倍速度 </w:t>
            </w:r>
          </w:p>
        </w:tc>
        <w:tc>
          <w:tcPr>
            <w:tcW w:w="5249"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大约1秒（广角-望远）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水平视角 </w:t>
            </w:r>
          </w:p>
        </w:tc>
        <w:tc>
          <w:tcPr>
            <w:tcW w:w="5249"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80-64.5度（广角-望远）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光圈数 </w:t>
            </w:r>
          </w:p>
        </w:tc>
        <w:tc>
          <w:tcPr>
            <w:tcW w:w="5249"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F2.0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近摄距 </w:t>
            </w:r>
          </w:p>
        </w:tc>
        <w:tc>
          <w:tcPr>
            <w:tcW w:w="5249"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10-1500mm（广角-望远）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1276"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红外功能 </w:t>
            </w:r>
          </w:p>
        </w:tc>
        <w:tc>
          <w:tcPr>
            <w:tcW w:w="1785"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红外照射距离 </w:t>
            </w:r>
          </w:p>
        </w:tc>
        <w:tc>
          <w:tcPr>
            <w:tcW w:w="5249"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20米</w:t>
            </w:r>
          </w:p>
        </w:tc>
      </w:tr>
    </w:tbl>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（6）室外摄像机</w:t>
      </w:r>
    </w:p>
    <w:tbl>
      <w:tblPr>
        <w:tblStyle w:val="7"/>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815"/>
        <w:gridCol w:w="5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1" w:type="dxa"/>
            <w:gridSpan w:val="2"/>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项目名称</w:t>
            </w:r>
          </w:p>
        </w:tc>
        <w:tc>
          <w:tcPr>
            <w:tcW w:w="5204"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机芯 </w:t>
            </w:r>
          </w:p>
        </w:tc>
        <w:tc>
          <w:tcPr>
            <w:tcW w:w="1815"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图像传感器 </w:t>
            </w:r>
          </w:p>
        </w:tc>
        <w:tc>
          <w:tcPr>
            <w:tcW w:w="5204"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1/3"Progressive Scan CMOS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水平解析度 </w:t>
            </w:r>
          </w:p>
        </w:tc>
        <w:tc>
          <w:tcPr>
            <w:tcW w:w="5204"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≥720TVL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p>
        </w:tc>
        <w:tc>
          <w:tcPr>
            <w:tcW w:w="1815"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最低照度 </w:t>
            </w:r>
          </w:p>
        </w:tc>
        <w:tc>
          <w:tcPr>
            <w:tcW w:w="5204"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彩色：0.05Lux @ （F1.4，AGC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p>
        </w:tc>
        <w:tc>
          <w:tcPr>
            <w:tcW w:w="5204"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黑白：0.01Lux @（F1.4，AGC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信噪比 </w:t>
            </w:r>
          </w:p>
        </w:tc>
        <w:tc>
          <w:tcPr>
            <w:tcW w:w="5204"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大于 52dB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电子快门 </w:t>
            </w:r>
          </w:p>
        </w:tc>
        <w:tc>
          <w:tcPr>
            <w:tcW w:w="5204"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1-1/10,000s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日夜模式 </w:t>
            </w:r>
          </w:p>
        </w:tc>
        <w:tc>
          <w:tcPr>
            <w:tcW w:w="5204"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自动ICR 彩转黑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数字变倍 </w:t>
            </w:r>
          </w:p>
        </w:tc>
        <w:tc>
          <w:tcPr>
            <w:tcW w:w="5204"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16倍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镜头 </w:t>
            </w:r>
          </w:p>
        </w:tc>
        <w:tc>
          <w:tcPr>
            <w:tcW w:w="1815"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焦距 </w:t>
            </w:r>
          </w:p>
        </w:tc>
        <w:tc>
          <w:tcPr>
            <w:tcW w:w="5204"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4.7-94mm, 20倍光学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变倍速度 </w:t>
            </w:r>
          </w:p>
        </w:tc>
        <w:tc>
          <w:tcPr>
            <w:tcW w:w="5204"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大约3秒（光学, 广角-望远）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水平视角 </w:t>
            </w:r>
          </w:p>
        </w:tc>
        <w:tc>
          <w:tcPr>
            <w:tcW w:w="5204"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58.3-3.2度（广角-望远）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近摄距 </w:t>
            </w:r>
          </w:p>
        </w:tc>
        <w:tc>
          <w:tcPr>
            <w:tcW w:w="5204"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10-1000mm（广角-望远）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光圈数 </w:t>
            </w:r>
          </w:p>
        </w:tc>
        <w:tc>
          <w:tcPr>
            <w:tcW w:w="5204"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F1.6-F3.5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外功能 </w:t>
            </w:r>
          </w:p>
        </w:tc>
        <w:tc>
          <w:tcPr>
            <w:tcW w:w="1815"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红外照射距离 </w:t>
            </w:r>
          </w:p>
        </w:tc>
        <w:tc>
          <w:tcPr>
            <w:tcW w:w="5204"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150米 </w:t>
            </w:r>
          </w:p>
        </w:tc>
      </w:tr>
    </w:tbl>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（7）网络硬盘录像机</w:t>
      </w:r>
    </w:p>
    <w:tbl>
      <w:tblPr>
        <w:tblStyle w:val="7"/>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1964"/>
        <w:gridCol w:w="4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4172" w:type="dxa"/>
            <w:gridSpan w:val="2"/>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项目名称</w:t>
            </w:r>
          </w:p>
        </w:tc>
        <w:tc>
          <w:tcPr>
            <w:tcW w:w="4138"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2208"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视音频编解码参数 </w:t>
            </w:r>
          </w:p>
        </w:tc>
        <w:tc>
          <w:tcPr>
            <w:tcW w:w="1964"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录像分辨率 </w:t>
            </w:r>
          </w:p>
        </w:tc>
        <w:tc>
          <w:tcPr>
            <w:tcW w:w="4138"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6MP/5MP/3MP/1080p/UXGA/720p/VGA/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220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p>
        </w:tc>
        <w:tc>
          <w:tcPr>
            <w:tcW w:w="1964"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p>
        </w:tc>
        <w:tc>
          <w:tcPr>
            <w:tcW w:w="4138"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4CIF/DCIF/2CIF/CIF/QCIF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220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同步回放 </w:t>
            </w:r>
          </w:p>
        </w:tc>
        <w:tc>
          <w:tcPr>
            <w:tcW w:w="4138"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4路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2208"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录像管理 </w:t>
            </w:r>
          </w:p>
        </w:tc>
        <w:tc>
          <w:tcPr>
            <w:tcW w:w="1964"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录像/抓图模式 </w:t>
            </w:r>
          </w:p>
        </w:tc>
        <w:tc>
          <w:tcPr>
            <w:tcW w:w="4138"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手动录像、定时录像、事件录像、移动侦测录像、报警录像、动测或报警录像、动测且报警录像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220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回放模式 </w:t>
            </w:r>
          </w:p>
        </w:tc>
        <w:tc>
          <w:tcPr>
            <w:tcW w:w="4138"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即时回放、常规回放、事件回放、标签回放、智能回放、外部文件回放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220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备份模式 </w:t>
            </w:r>
          </w:p>
        </w:tc>
        <w:tc>
          <w:tcPr>
            <w:tcW w:w="4138"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常规备份、事件备份、录像剪辑备份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2208"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硬盘驱动器 </w:t>
            </w:r>
          </w:p>
        </w:tc>
        <w:tc>
          <w:tcPr>
            <w:tcW w:w="1964"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类型 </w:t>
            </w:r>
          </w:p>
        </w:tc>
        <w:tc>
          <w:tcPr>
            <w:tcW w:w="4138"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1个SATA接口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208"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w:t>
            </w:r>
          </w:p>
        </w:tc>
        <w:tc>
          <w:tcPr>
            <w:tcW w:w="1964"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最大容量</w:t>
            </w:r>
          </w:p>
        </w:tc>
        <w:tc>
          <w:tcPr>
            <w:tcW w:w="4138"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每个接口支持容量最大4TB的硬盘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2208"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外部接口 </w:t>
            </w:r>
          </w:p>
        </w:tc>
        <w:tc>
          <w:tcPr>
            <w:tcW w:w="1964"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语音对讲输入 </w:t>
            </w:r>
          </w:p>
        </w:tc>
        <w:tc>
          <w:tcPr>
            <w:tcW w:w="4138"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1个，RCA接口（电平：2.0Vp-p，阻抗：1kΩ）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220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网络接口 </w:t>
            </w:r>
          </w:p>
        </w:tc>
        <w:tc>
          <w:tcPr>
            <w:tcW w:w="4138"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1个，RJ45 10M/100M/1000M自适应以太网口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220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USB接口 </w:t>
            </w:r>
          </w:p>
        </w:tc>
        <w:tc>
          <w:tcPr>
            <w:tcW w:w="4138"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1个USB2.0，1个USB3.0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2208"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网络管理</w:t>
            </w:r>
          </w:p>
        </w:tc>
        <w:tc>
          <w:tcPr>
            <w:tcW w:w="1964"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网络协议 </w:t>
            </w:r>
          </w:p>
        </w:tc>
        <w:tc>
          <w:tcPr>
            <w:tcW w:w="4138"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IPv6、UPnP（即插即用）、NTP（网络校时）、SADP（自动搜索IP地址）、PPPoE（拨号上网）、DHCP（自动获取IP地址）等 </w:t>
            </w:r>
          </w:p>
        </w:tc>
      </w:tr>
    </w:tbl>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p>
      <w:pPr>
        <w:spacing w:line="360" w:lineRule="auto"/>
        <w:ind w:firstLine="562"/>
        <w:outlineLvl w:val="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3.2.7辅助单元</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辅助单元应包含UPS、稳压电源、防雷单元、废液单元、自动灭火装置等部分。</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（1）配备UPS（总功率≥3KW，断电后至少能保证仪器完成一个测量周期和数据上传，且待机不少于1h）、三相稳压电源（功率≥10KW）、系统集成机柜、维护专用成套工具等；</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应保证分析仪器运行时所用的化学试剂处于4±2℃低温保存；</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（3）配备废液</w:t>
      </w:r>
      <w:r>
        <w:rPr>
          <w:rFonts w:hint="eastAsia" w:ascii="宋体" w:hAnsi="宋体" w:cs="宋体"/>
          <w:color w:val="000000" w:themeColor="text1"/>
          <w:szCs w:val="21"/>
          <w:highlight w:val="none"/>
          <w14:textFill>
            <w14:solidFill>
              <w14:schemeClr w14:val="tx1"/>
            </w14:solidFill>
          </w14:textFill>
        </w:rPr>
        <w:t>自动处理单元或</w:t>
      </w:r>
      <w:r>
        <w:rPr>
          <w:rFonts w:hint="eastAsia" w:ascii="宋体" w:hAnsi="宋体" w:cs="宋体"/>
          <w:color w:val="000000" w:themeColor="text1"/>
          <w:kern w:val="0"/>
          <w:szCs w:val="21"/>
          <w:highlight w:val="none"/>
          <w14:textFill>
            <w14:solidFill>
              <w14:schemeClr w14:val="tx1"/>
            </w14:solidFill>
          </w14:textFill>
        </w:rPr>
        <w:t>废液收集单元，满足两周以上废液量的收集；</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（4）配备站房门禁系统，并自动记录站房出入情况；</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（5）为保证系统稳定、可靠运行，必须具有电源、信号等设施的三级防雷措施；</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（6）具备自动灭火装置，采用悬挂式灭火器，灭火材料须对人体和设备无害。</w:t>
      </w:r>
    </w:p>
    <w:p>
      <w:pPr>
        <w:pStyle w:val="3"/>
        <w:widowControl/>
        <w:spacing w:before="0"/>
        <w:jc w:val="left"/>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四、水站站房要求</w:t>
      </w:r>
    </w:p>
    <w:p>
      <w:pPr>
        <w:pStyle w:val="11"/>
        <w:rPr>
          <w:rFonts w:hAnsi="宋体"/>
          <w:color w:val="000000" w:themeColor="text1"/>
          <w:sz w:val="21"/>
          <w:szCs w:val="21"/>
          <w:highlight w:val="none"/>
          <w14:textFill>
            <w14:solidFill>
              <w14:schemeClr w14:val="tx1"/>
            </w14:solidFill>
          </w14:textFill>
        </w:rPr>
      </w:pP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 站房面积不得小于10平方米。</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 站房外部装饰需符合徽派建筑风格，并于周边环境协调一致。</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4.3 水站内部需保证2个机位以上的预留空间，以备后期增加分析项目。</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4.4、站房墙体应具备隔热保温性能，地面应抗静电；</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4.5、站房具有耐腐蚀性能，或进行防腐蚀处理。</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4.6、站房内预留给排水口，方便监测水样和自来水的供给及站房废水的排放；</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4.7、站房前端设置可开合的透气百叶窗，站房侧面设置通风换气窗；选用优质的前门（900mm宽），前门安装门禁系统（集指纹、刷卡、密码于一体）；</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4.8、水、电安装：熟悉规范，留心预留预埋防水套管、穿墙套管，排水孔洞、设备基础预留孔洞及预埋件等。</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4.9、给排水：从附近引入自来水（自来水的瞬时最大流量3立方米/小时，压力不小于0.5千克/平方厘米，保证每次清洗用量不小于1立方米。由地方政府负责提供接入点。），自来水管宜采用PPR双热熔复合管或UPVC给水管；排水管采用UPVC管材，粘接连口，并应有坡度，实施有组织排水;排水总管径不</w:t>
      </w:r>
      <w:r>
        <w:rPr>
          <w:rFonts w:hint="eastAsia" w:ascii="宋体" w:hAnsi="宋体" w:cs="宋体"/>
          <w:color w:val="000000" w:themeColor="text1"/>
          <w:szCs w:val="21"/>
          <w:highlight w:val="none"/>
          <w14:textFill>
            <w14:solidFill>
              <w14:schemeClr w14:val="tx1"/>
            </w14:solidFill>
          </w14:textFill>
        </w:rPr>
        <w:t>小于DN150，以保证排水畅通，并注意配备防冻措施。排水管出水口高于河水最高洪水水位，设在采水点下游或市政排水官网。</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4.10、供电：从附近引入380V交流电进入站房，现场必须做好防止漏电的保护措施，严格执行接地、接零和使用漏电开关要求。根据仪器、设备的用电情况，在380V供电条件下总配电采取分相供电：一相用于照明、空调及其他生活用电（220伏特）；一相供专用稳压电源为系统用电（220V）。同时在站房配电箱内还保留一到两个三相（380伏V）和单相（220V）电源接线端子备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4.11、照明系统：安装照明灯，满足节能及室内照明要求，室内电路走暗线，合理布置配电箱、多个三孔+二孔插座。</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4.12、站房暖通：应配备冷暖空调，室内温度应当保持在5～28℃，湿度在60%以内，在北方寒冷地区应配备电暖气等单独供暖设备，保障室内设备的正常工作。</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4.13、站房防雷系统应符合现行国家标准《建筑防雷设计规范》的规定，并应由具有相关资质的单位进行设计、施工以及验收。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4.14、通讯：敷设光纤、ADSL或VPN等专用网络进入站房，或采用无线网络通讯。</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4.15、站房内需配备1个实验操作台：</w:t>
      </w:r>
    </w:p>
    <w:p>
      <w:pPr>
        <w:pStyle w:val="11"/>
        <w:spacing w:after="195"/>
        <w:ind w:firstLine="420" w:firstLineChars="200"/>
        <w:rPr>
          <w:rFonts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1）尺寸：1200mm*750mm*800mm（长宽高）</w:t>
      </w:r>
    </w:p>
    <w:p>
      <w:pPr>
        <w:pStyle w:val="11"/>
        <w:spacing w:after="195"/>
        <w:ind w:firstLine="420" w:firstLineChars="200"/>
        <w:rPr>
          <w:rFonts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2）标准12.7mm实芯理化板台面（带水槽），耐腐蚀耐各种强酸碱</w:t>
      </w:r>
    </w:p>
    <w:p>
      <w:pPr>
        <w:pStyle w:val="11"/>
        <w:spacing w:after="195"/>
        <w:ind w:firstLine="420" w:firstLineChars="200"/>
        <w:rPr>
          <w:rFonts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3）配备插座及插座斜线盒</w:t>
      </w:r>
    </w:p>
    <w:p>
      <w:pPr>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4.16、</w:t>
      </w:r>
      <w:r>
        <w:rPr>
          <w:rFonts w:hint="eastAsia" w:ascii="宋体" w:hAnsi="宋体" w:cs="宋体"/>
          <w:color w:val="000000" w:themeColor="text1"/>
          <w:szCs w:val="21"/>
          <w:highlight w:val="none"/>
          <w:lang w:eastAsia="zh-CN"/>
          <w14:textFill>
            <w14:solidFill>
              <w14:schemeClr w14:val="tx1"/>
            </w14:solidFill>
          </w14:textFill>
        </w:rPr>
        <w:t>投标人中标后</w:t>
      </w:r>
      <w:r>
        <w:rPr>
          <w:rFonts w:hint="eastAsia" w:ascii="宋体" w:hAnsi="宋体" w:cs="宋体"/>
          <w:color w:val="000000" w:themeColor="text1"/>
          <w:szCs w:val="21"/>
          <w:highlight w:val="none"/>
          <w14:textFill>
            <w14:solidFill>
              <w14:schemeClr w14:val="tx1"/>
            </w14:solidFill>
          </w14:textFill>
        </w:rPr>
        <w:t>须提供景观站房的</w:t>
      </w:r>
      <w:r>
        <w:rPr>
          <w:rFonts w:hint="eastAsia" w:ascii="宋体" w:hAnsi="宋体" w:cs="宋体"/>
          <w:color w:val="000000" w:themeColor="text1"/>
          <w:szCs w:val="21"/>
          <w:highlight w:val="none"/>
          <w:lang w:eastAsia="zh-CN"/>
          <w14:textFill>
            <w14:solidFill>
              <w14:schemeClr w14:val="tx1"/>
            </w14:solidFill>
          </w14:textFill>
        </w:rPr>
        <w:t>地勘报告、</w:t>
      </w:r>
      <w:r>
        <w:rPr>
          <w:rFonts w:hint="eastAsia" w:ascii="宋体" w:hAnsi="宋体" w:cs="宋体"/>
          <w:color w:val="000000" w:themeColor="text1"/>
          <w:szCs w:val="21"/>
          <w:highlight w:val="none"/>
          <w14:textFill>
            <w14:solidFill>
              <w14:schemeClr w14:val="tx1"/>
            </w14:solidFill>
          </w14:textFill>
        </w:rPr>
        <w:t>施工图纸（含站房基础，但基础施工由采购人负责，不包含在本次报价中）且</w:t>
      </w:r>
      <w:r>
        <w:rPr>
          <w:rFonts w:hint="eastAsia" w:ascii="宋体" w:hAnsi="宋体" w:cs="宋体"/>
          <w:color w:val="000000" w:themeColor="text1"/>
          <w:szCs w:val="21"/>
          <w:highlight w:val="none"/>
          <w:lang w:eastAsia="zh-CN"/>
          <w14:textFill>
            <w14:solidFill>
              <w14:schemeClr w14:val="tx1"/>
            </w14:solidFill>
          </w14:textFill>
        </w:rPr>
        <w:t>负责图纸审查的相关工作。以上费用包含在本次报价中，请投标人自行考虑。</w:t>
      </w:r>
    </w:p>
    <w:p>
      <w:pPr>
        <w:spacing w:line="360" w:lineRule="auto"/>
        <w:rPr>
          <w:rFonts w:ascii="宋体" w:hAnsi="宋体" w:cs="宋体"/>
          <w:color w:val="000000" w:themeColor="text1"/>
          <w:szCs w:val="21"/>
          <w:highlight w:val="none"/>
          <w14:textFill>
            <w14:solidFill>
              <w14:schemeClr w14:val="tx1"/>
            </w14:solidFill>
          </w14:textFill>
        </w:rPr>
      </w:pPr>
    </w:p>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附件： 自动站建设位置清单</w:t>
      </w:r>
    </w:p>
    <w:tbl>
      <w:tblPr>
        <w:tblStyle w:val="7"/>
        <w:tblW w:w="8296" w:type="dxa"/>
        <w:jc w:val="center"/>
        <w:tblInd w:w="0" w:type="dxa"/>
        <w:tblLayout w:type="fixed"/>
        <w:tblCellMar>
          <w:top w:w="0" w:type="dxa"/>
          <w:left w:w="108" w:type="dxa"/>
          <w:bottom w:w="0" w:type="dxa"/>
          <w:right w:w="108" w:type="dxa"/>
        </w:tblCellMar>
      </w:tblPr>
      <w:tblGrid>
        <w:gridCol w:w="796"/>
        <w:gridCol w:w="938"/>
        <w:gridCol w:w="1667"/>
        <w:gridCol w:w="2407"/>
        <w:gridCol w:w="1244"/>
        <w:gridCol w:w="1244"/>
      </w:tblGrid>
      <w:tr>
        <w:tblPrEx>
          <w:tblLayout w:type="fixed"/>
          <w:tblCellMar>
            <w:top w:w="0" w:type="dxa"/>
            <w:left w:w="108" w:type="dxa"/>
            <w:bottom w:w="0" w:type="dxa"/>
            <w:right w:w="108" w:type="dxa"/>
          </w:tblCellMar>
        </w:tblPrEx>
        <w:trPr>
          <w:trHeight w:val="480" w:hRule="atLeast"/>
          <w:tblHeader/>
          <w:jc w:val="center"/>
        </w:trPr>
        <w:tc>
          <w:tcPr>
            <w:tcW w:w="7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序号</w:t>
            </w:r>
          </w:p>
        </w:tc>
        <w:tc>
          <w:tcPr>
            <w:tcW w:w="9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所属</w:t>
            </w:r>
          </w:p>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辖区</w:t>
            </w:r>
          </w:p>
        </w:tc>
        <w:tc>
          <w:tcPr>
            <w:tcW w:w="166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河流名称</w:t>
            </w:r>
          </w:p>
        </w:tc>
        <w:tc>
          <w:tcPr>
            <w:tcW w:w="24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断面名称</w:t>
            </w:r>
          </w:p>
        </w:tc>
        <w:tc>
          <w:tcPr>
            <w:tcW w:w="12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经度</w:t>
            </w:r>
          </w:p>
        </w:tc>
        <w:tc>
          <w:tcPr>
            <w:tcW w:w="12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纬度</w:t>
            </w:r>
          </w:p>
        </w:tc>
      </w:tr>
      <w:tr>
        <w:tblPrEx>
          <w:tblLayout w:type="fixed"/>
          <w:tblCellMar>
            <w:top w:w="0" w:type="dxa"/>
            <w:left w:w="108" w:type="dxa"/>
            <w:bottom w:w="0" w:type="dxa"/>
            <w:right w:w="108" w:type="dxa"/>
          </w:tblCellMar>
        </w:tblPrEx>
        <w:trPr>
          <w:trHeight w:val="624" w:hRule="exact"/>
          <w:jc w:val="center"/>
        </w:trPr>
        <w:tc>
          <w:tcPr>
            <w:tcW w:w="79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93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迎江区</w:t>
            </w:r>
          </w:p>
        </w:tc>
        <w:tc>
          <w:tcPr>
            <w:tcW w:w="16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长江</w:t>
            </w:r>
          </w:p>
        </w:tc>
        <w:tc>
          <w:tcPr>
            <w:tcW w:w="240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安庆长江三水厂</w:t>
            </w:r>
          </w:p>
        </w:tc>
        <w:tc>
          <w:tcPr>
            <w:tcW w:w="12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117.0736</w:t>
            </w:r>
          </w:p>
        </w:tc>
        <w:tc>
          <w:tcPr>
            <w:tcW w:w="12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30.5043</w:t>
            </w:r>
          </w:p>
        </w:tc>
      </w:tr>
      <w:tr>
        <w:tblPrEx>
          <w:tblLayout w:type="fixed"/>
          <w:tblCellMar>
            <w:top w:w="0" w:type="dxa"/>
            <w:left w:w="108" w:type="dxa"/>
            <w:bottom w:w="0" w:type="dxa"/>
            <w:right w:w="108" w:type="dxa"/>
          </w:tblCellMar>
        </w:tblPrEx>
        <w:trPr>
          <w:trHeight w:val="624" w:hRule="exact"/>
          <w:jc w:val="center"/>
        </w:trPr>
        <w:tc>
          <w:tcPr>
            <w:tcW w:w="79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93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迎江区</w:t>
            </w:r>
          </w:p>
        </w:tc>
        <w:tc>
          <w:tcPr>
            <w:tcW w:w="16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长江</w:t>
            </w:r>
          </w:p>
        </w:tc>
        <w:tc>
          <w:tcPr>
            <w:tcW w:w="240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石化总排</w:t>
            </w:r>
          </w:p>
        </w:tc>
        <w:tc>
          <w:tcPr>
            <w:tcW w:w="12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117.1258</w:t>
            </w:r>
          </w:p>
        </w:tc>
        <w:tc>
          <w:tcPr>
            <w:tcW w:w="12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30.5128</w:t>
            </w:r>
          </w:p>
        </w:tc>
      </w:tr>
      <w:tr>
        <w:tblPrEx>
          <w:tblLayout w:type="fixed"/>
          <w:tblCellMar>
            <w:top w:w="0" w:type="dxa"/>
            <w:left w:w="108" w:type="dxa"/>
            <w:bottom w:w="0" w:type="dxa"/>
            <w:right w:w="108" w:type="dxa"/>
          </w:tblCellMar>
        </w:tblPrEx>
        <w:trPr>
          <w:trHeight w:val="624" w:hRule="exact"/>
          <w:jc w:val="center"/>
        </w:trPr>
        <w:tc>
          <w:tcPr>
            <w:tcW w:w="79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93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迎江区</w:t>
            </w:r>
          </w:p>
        </w:tc>
        <w:tc>
          <w:tcPr>
            <w:tcW w:w="16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牛头冲河</w:t>
            </w:r>
          </w:p>
        </w:tc>
        <w:tc>
          <w:tcPr>
            <w:tcW w:w="240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牛头冲河入江口</w:t>
            </w:r>
          </w:p>
        </w:tc>
        <w:tc>
          <w:tcPr>
            <w:tcW w:w="12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117.1908</w:t>
            </w:r>
          </w:p>
        </w:tc>
        <w:tc>
          <w:tcPr>
            <w:tcW w:w="12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30.6237</w:t>
            </w:r>
          </w:p>
        </w:tc>
      </w:tr>
      <w:tr>
        <w:tblPrEx>
          <w:tblLayout w:type="fixed"/>
          <w:tblCellMar>
            <w:top w:w="0" w:type="dxa"/>
            <w:left w:w="108" w:type="dxa"/>
            <w:bottom w:w="0" w:type="dxa"/>
            <w:right w:w="108" w:type="dxa"/>
          </w:tblCellMar>
        </w:tblPrEx>
        <w:trPr>
          <w:trHeight w:val="624" w:hRule="exact"/>
          <w:jc w:val="center"/>
        </w:trPr>
        <w:tc>
          <w:tcPr>
            <w:tcW w:w="79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93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潜山市</w:t>
            </w:r>
          </w:p>
        </w:tc>
        <w:tc>
          <w:tcPr>
            <w:tcW w:w="16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潜水</w:t>
            </w:r>
          </w:p>
        </w:tc>
        <w:tc>
          <w:tcPr>
            <w:tcW w:w="240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岳西潜山交界</w:t>
            </w:r>
          </w:p>
        </w:tc>
        <w:tc>
          <w:tcPr>
            <w:tcW w:w="12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116.3507</w:t>
            </w:r>
          </w:p>
        </w:tc>
        <w:tc>
          <w:tcPr>
            <w:tcW w:w="12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30.7148</w:t>
            </w:r>
          </w:p>
        </w:tc>
      </w:tr>
      <w:tr>
        <w:tblPrEx>
          <w:tblLayout w:type="fixed"/>
          <w:tblCellMar>
            <w:top w:w="0" w:type="dxa"/>
            <w:left w:w="108" w:type="dxa"/>
            <w:bottom w:w="0" w:type="dxa"/>
            <w:right w:w="108" w:type="dxa"/>
          </w:tblCellMar>
        </w:tblPrEx>
        <w:trPr>
          <w:trHeight w:val="624" w:hRule="exact"/>
          <w:jc w:val="center"/>
        </w:trPr>
        <w:tc>
          <w:tcPr>
            <w:tcW w:w="79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93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潜山市</w:t>
            </w:r>
          </w:p>
        </w:tc>
        <w:tc>
          <w:tcPr>
            <w:tcW w:w="16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长河（太湖）</w:t>
            </w:r>
          </w:p>
        </w:tc>
        <w:tc>
          <w:tcPr>
            <w:tcW w:w="240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太湖潜山交界</w:t>
            </w:r>
          </w:p>
        </w:tc>
        <w:tc>
          <w:tcPr>
            <w:tcW w:w="12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116.4768</w:t>
            </w:r>
          </w:p>
        </w:tc>
        <w:tc>
          <w:tcPr>
            <w:tcW w:w="12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30.4685</w:t>
            </w:r>
          </w:p>
        </w:tc>
      </w:tr>
      <w:tr>
        <w:tblPrEx>
          <w:tblLayout w:type="fixed"/>
          <w:tblCellMar>
            <w:top w:w="0" w:type="dxa"/>
            <w:left w:w="108" w:type="dxa"/>
            <w:bottom w:w="0" w:type="dxa"/>
            <w:right w:w="108" w:type="dxa"/>
          </w:tblCellMar>
        </w:tblPrEx>
        <w:trPr>
          <w:trHeight w:val="624" w:hRule="exact"/>
          <w:jc w:val="center"/>
        </w:trPr>
        <w:tc>
          <w:tcPr>
            <w:tcW w:w="79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c>
          <w:tcPr>
            <w:tcW w:w="93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潜山市</w:t>
            </w:r>
          </w:p>
        </w:tc>
        <w:tc>
          <w:tcPr>
            <w:tcW w:w="16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大沙河</w:t>
            </w:r>
          </w:p>
        </w:tc>
        <w:tc>
          <w:tcPr>
            <w:tcW w:w="240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大沙河潜山桐城交界</w:t>
            </w:r>
          </w:p>
        </w:tc>
        <w:tc>
          <w:tcPr>
            <w:tcW w:w="12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116.6970</w:t>
            </w:r>
          </w:p>
        </w:tc>
        <w:tc>
          <w:tcPr>
            <w:tcW w:w="12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30.8652</w:t>
            </w:r>
          </w:p>
        </w:tc>
      </w:tr>
      <w:tr>
        <w:tblPrEx>
          <w:tblLayout w:type="fixed"/>
          <w:tblCellMar>
            <w:top w:w="0" w:type="dxa"/>
            <w:left w:w="108" w:type="dxa"/>
            <w:bottom w:w="0" w:type="dxa"/>
            <w:right w:w="108" w:type="dxa"/>
          </w:tblCellMar>
        </w:tblPrEx>
        <w:trPr>
          <w:trHeight w:val="624" w:hRule="exact"/>
          <w:jc w:val="center"/>
        </w:trPr>
        <w:tc>
          <w:tcPr>
            <w:tcW w:w="79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w:t>
            </w:r>
          </w:p>
        </w:tc>
        <w:tc>
          <w:tcPr>
            <w:tcW w:w="93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桐城市</w:t>
            </w:r>
          </w:p>
        </w:tc>
        <w:tc>
          <w:tcPr>
            <w:tcW w:w="16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挂车河</w:t>
            </w:r>
          </w:p>
        </w:tc>
        <w:tc>
          <w:tcPr>
            <w:tcW w:w="240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挂车河入湖口</w:t>
            </w:r>
          </w:p>
        </w:tc>
        <w:tc>
          <w:tcPr>
            <w:tcW w:w="12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116.9849</w:t>
            </w:r>
          </w:p>
        </w:tc>
        <w:tc>
          <w:tcPr>
            <w:tcW w:w="12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30.8393</w:t>
            </w:r>
          </w:p>
        </w:tc>
      </w:tr>
      <w:tr>
        <w:tblPrEx>
          <w:tblLayout w:type="fixed"/>
          <w:tblCellMar>
            <w:top w:w="0" w:type="dxa"/>
            <w:left w:w="108" w:type="dxa"/>
            <w:bottom w:w="0" w:type="dxa"/>
            <w:right w:w="108" w:type="dxa"/>
          </w:tblCellMar>
        </w:tblPrEx>
        <w:trPr>
          <w:trHeight w:val="624" w:hRule="exact"/>
          <w:jc w:val="center"/>
        </w:trPr>
        <w:tc>
          <w:tcPr>
            <w:tcW w:w="79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w:t>
            </w:r>
          </w:p>
        </w:tc>
        <w:tc>
          <w:tcPr>
            <w:tcW w:w="93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桐城市</w:t>
            </w:r>
          </w:p>
        </w:tc>
        <w:tc>
          <w:tcPr>
            <w:tcW w:w="16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柏年河</w:t>
            </w:r>
          </w:p>
        </w:tc>
        <w:tc>
          <w:tcPr>
            <w:tcW w:w="240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柏年河人形河汇合口</w:t>
            </w:r>
          </w:p>
        </w:tc>
        <w:tc>
          <w:tcPr>
            <w:tcW w:w="12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116.9771</w:t>
            </w:r>
          </w:p>
        </w:tc>
        <w:tc>
          <w:tcPr>
            <w:tcW w:w="12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30.7696</w:t>
            </w:r>
          </w:p>
        </w:tc>
      </w:tr>
      <w:tr>
        <w:tblPrEx>
          <w:tblLayout w:type="fixed"/>
          <w:tblCellMar>
            <w:top w:w="0" w:type="dxa"/>
            <w:left w:w="108" w:type="dxa"/>
            <w:bottom w:w="0" w:type="dxa"/>
            <w:right w:w="108" w:type="dxa"/>
          </w:tblCellMar>
        </w:tblPrEx>
        <w:trPr>
          <w:trHeight w:val="624" w:hRule="exact"/>
          <w:jc w:val="center"/>
        </w:trPr>
        <w:tc>
          <w:tcPr>
            <w:tcW w:w="79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w:t>
            </w:r>
          </w:p>
        </w:tc>
        <w:tc>
          <w:tcPr>
            <w:tcW w:w="93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宿松县</w:t>
            </w:r>
          </w:p>
        </w:tc>
        <w:tc>
          <w:tcPr>
            <w:tcW w:w="16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龙感湖与大官湖连接处</w:t>
            </w:r>
          </w:p>
        </w:tc>
        <w:tc>
          <w:tcPr>
            <w:tcW w:w="240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龙感湖入大官湖</w:t>
            </w:r>
          </w:p>
        </w:tc>
        <w:tc>
          <w:tcPr>
            <w:tcW w:w="12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116.2556</w:t>
            </w:r>
          </w:p>
        </w:tc>
        <w:tc>
          <w:tcPr>
            <w:tcW w:w="12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30.0162</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3101A2"/>
    <w:multiLevelType w:val="singleLevel"/>
    <w:tmpl w:val="BE3101A2"/>
    <w:lvl w:ilvl="0" w:tentative="0">
      <w:start w:val="2"/>
      <w:numFmt w:val="decimal"/>
      <w:lvlText w:val="%1."/>
      <w:lvlJc w:val="left"/>
      <w:pPr>
        <w:tabs>
          <w:tab w:val="left" w:pos="312"/>
        </w:tabs>
      </w:pPr>
    </w:lvl>
  </w:abstractNum>
  <w:abstractNum w:abstractNumId="1">
    <w:nsid w:val="0A5F0A38"/>
    <w:multiLevelType w:val="multilevel"/>
    <w:tmpl w:val="0A5F0A38"/>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F73583C"/>
    <w:multiLevelType w:val="multilevel"/>
    <w:tmpl w:val="0F73583C"/>
    <w:lvl w:ilvl="0" w:tentative="0">
      <w:start w:val="5"/>
      <w:numFmt w:val="decimal"/>
      <w:lvlText w:val="（%1）"/>
      <w:lvlJc w:val="left"/>
      <w:pPr>
        <w:ind w:left="1200" w:hanging="720"/>
      </w:pPr>
      <w:rPr>
        <w:rFonts w:hint="default" w:cstheme="minorBidi"/>
        <w:color w:val="auto"/>
        <w:sz w:val="28"/>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BAB25C0"/>
    <w:multiLevelType w:val="multilevel"/>
    <w:tmpl w:val="4BAB25C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B96A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paragraph" w:styleId="3">
    <w:name w:val="heading 2"/>
    <w:basedOn w:val="1"/>
    <w:next w:val="1"/>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4">
    <w:name w:val="heading 3"/>
    <w:basedOn w:val="1"/>
    <w:next w:val="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customStyle="1" w:styleId="8">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9">
    <w:name w:val="List Paragraph"/>
    <w:basedOn w:val="1"/>
    <w:qFormat/>
    <w:uiPriority w:val="99"/>
    <w:pPr>
      <w:ind w:firstLine="420" w:firstLineChars="200"/>
    </w:pPr>
  </w:style>
  <w:style w:type="paragraph" w:customStyle="1" w:styleId="10">
    <w:name w:val="BG样式1"/>
    <w:basedOn w:val="1"/>
    <w:qFormat/>
    <w:uiPriority w:val="0"/>
    <w:pPr>
      <w:spacing w:line="300" w:lineRule="exact"/>
    </w:pPr>
    <w:rPr>
      <w:rFonts w:eastAsia="宋体"/>
      <w:sz w:val="24"/>
    </w:rPr>
  </w:style>
  <w:style w:type="paragraph" w:customStyle="1" w:styleId="11">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天神的远征</cp:lastModifiedBy>
  <dcterms:modified xsi:type="dcterms:W3CDTF">2019-03-01T08:34:59Z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