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47" w:rsidRDefault="00576447">
      <w:pPr>
        <w:rPr>
          <w:rFonts w:hint="eastAsia"/>
        </w:rPr>
      </w:pPr>
    </w:p>
    <w:tbl>
      <w:tblPr>
        <w:tblW w:w="12000" w:type="dxa"/>
        <w:tblCellSpacing w:w="7" w:type="dxa"/>
        <w:tblInd w:w="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5213"/>
        <w:gridCol w:w="5776"/>
      </w:tblGrid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地表水：河流、湖泊、水库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饮用水：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取水：水源地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制水：过程监测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供水：管网监测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废水：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污水厂消毒后排口监测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中水回用监测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生活及生产用水：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泳池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瓶装饮料厂、奶制品和食品厂、制药厂、电子厂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7E3E5FFD" wp14:editId="39F575CE">
                  <wp:extent cx="2628900" cy="2314575"/>
                  <wp:effectExtent l="0" t="0" r="0" b="9525"/>
                  <wp:docPr id="2" name="图片 2" descr="http://www.webced.com.cn/Upload/cc201701121046156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ced.com.cn/Upload/cc201701121046156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技术特性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水样浊度对测量无影响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全自动监测细菌在水中生长过程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突发污染事故快速应急监测（1-4小时）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通过数据存储装置向控制系统发送数据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趋势分析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易维护、低费用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独立系统，可移动测量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测量原理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  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BACTcontrol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用于监测水中粪大肠菌群和总大肠菌群，在线监测基于特定的酶制反应，使菌群发出可见的荧光，通过测量荧光强度检测菌群数量。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β—葡萄糖醛酸酶指示粪大肠菌群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β—半乳糖苷酶指示总大肠菌群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碱性磷酸酶指示总细菌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检测参数：总大肠菌群、粪大肠菌群、总菌群数、大肠球菌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检测方法：酶制荧光法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测量周期：1~4小时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防护等级：IP54（IP65可选）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尺      寸：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450×450×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260 mm（高×宽×深）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箱体材质：铝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样品压力：最大0.05 bar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样品温度：10~35℃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样品流速：3 L/h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样品连接：4 mm内径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每天最多可测量：6次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环境温度：15-30℃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功      耗：45W，220V-50 Hz 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通      讯：集成windows电脑窗口触摸屏，用户图形界面，直接通过局域网组网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           2×USB 2.0 A型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              2×LAN 10/100/1000MB/s; RJ-45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           1×DB-9 RS-232/422/485 COM1; 默认 RS-232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           1×DB-9 RS-232; COM2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             协议: Modbus TCP和Modbus串口，或其他需求，2×4~20mA输出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自动清洗：清洗周期可选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清洗溶液：&lt;0.05%的活性次氯酸钠，防止结垢，可无人维护下运行数周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可选配置：Modem卡槽可选UMTS、ISDN或模拟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          第2路样品和额外清洗装置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            输入：4~20 mA,2×数字输入，泄露监测传感器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           空调（环境温度高于30℃）</w:t>
            </w:r>
          </w:p>
        </w:tc>
      </w:tr>
    </w:tbl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tbl>
      <w:tblPr>
        <w:tblW w:w="11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6318"/>
        <w:gridCol w:w="4611"/>
      </w:tblGrid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地表水：河流、湖泊、水库、海洋、饮用水水源地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2247900" cy="2609850"/>
                  <wp:effectExtent l="0" t="0" r="0" b="0"/>
                  <wp:docPr id="4" name="图片 4" descr="http://www.webced.com.cn/Upload/cc201701121022549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ced.com.cn/Upload/cc201701121022549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技术特性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全自动监测藻类浓度在水体中的变化；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可同时测定总叶绿素、蓝藻叶绿素、DOM（溶解性有机物）、浊度，DOM和浊度值可自动修正叶绿素浓度；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几秒钟内检测含氰基的叶绿素浓度，有效预测毒性蓝藻的爆发；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易于集成到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在线生物综合毒性系统；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数据快速存储和自动图形显示；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藻类浓度超过设定值快速给出报警信号；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易维护、低费用。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测量原理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  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ALGcontrol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采用特定波长的一组LED光照射藻体中的叶绿素分子，叶绿素分子将部分吸收光以特定波长的荧光形式激发出来，检测荧光强度来计算叶绿素浓度；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同类藻体中含有等量的同种色素，被激发出的荧光是一样的（都被激发出680nm的荧光）。但同一种藻类受到不同波长单位强度的光照射时，发出的荧光强度不同，并且不同藻类受到相同波长单位强度的光照射时，发出的荧光强度也不同，因此可通过藻类的荧光激发光谱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对藻进行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分类测定；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另外，DOM和浊度会干扰藻类的测定，因此仪器还分别测定365nm和710nm的激发荧光对DOM和浊度进行补偿，以提高藻类测定的准确性；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仪器采用7种不同波长的光（365,450,525,570,590,615,710nm），以极高的频率依次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照射藻类，并记录每次的信号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值用于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计算藻类的浓度，测量结果以μg/l的形式显示在屏幕上，相应的DOM和浊度值也自动计算并显示。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2886075" cy="2114550"/>
                  <wp:effectExtent l="0" t="0" r="9525" b="0"/>
                  <wp:docPr id="3" name="图片 3" descr="http://www.webced.com.cn/Upload/cc20170112102339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bced.com.cn/Upload/cc20170112102339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技术参数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波        长：365，450，525，570，590，615，710nm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叶绿素测量范围（蓝藻和绿藻）：0~200 μg/l Chl.-a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分  辨  率：2 μg/l Chl.-a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浊度测量范围：0~400 NTU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透  光  率：0~100%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水样温度：0~30℃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电        源：24VDC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防护等级：IP54（IP65可选）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尺        寸：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450×450×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260mm（高×宽×深）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箱体材质：铝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样品压力：0 bar (最大0.05 bar)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样品温度：10~35℃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样品流速：2~10 L/h（无悬浮物）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环境温度：15~30℃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操作系统：内置Linux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功        耗：45W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通        讯：集成Linux电脑窗口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 触摸屏，用户图形界面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 直接通过局域网组网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 标准接口：CAN-Bus, LAN, Modem 和 RS232或 RS485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              协议: Modbus TCP和Modbus串口，或其他需求；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Profibus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转换器；2×4~20mA输出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可选配置：Modem卡槽可选UMTS、ISDN或模拟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               第2路样品和额外清洗装置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 传感器：pH、DO、浊度、ORP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          输入：4~20 mA、2×数字输入、泄露监测传感器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 PC软件（SQL数据库）</w:t>
            </w:r>
          </w:p>
        </w:tc>
      </w:tr>
    </w:tbl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tbl>
      <w:tblPr>
        <w:tblW w:w="118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5163"/>
        <w:gridCol w:w="5691"/>
      </w:tblGrid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  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TOXmini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是一款便携的，操作非常简单的毒性检测仪，它的应用非常广泛，它自动测定水体介质中毒性物质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对费歇尔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弧菌的影响，然后对水体介质是否有毒以及毒性强弱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作出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判断。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    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TOXmini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可用于实验室，因其装备了可充电电池，所以同时也可以应用于野外，且在野外应用时，可选配在测试过程中保持反应液恒温的冷却模块，这样使测试过程完全符合IS011348的标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准，从而保证测试结果的可靠性。因为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TOXmini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和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使用的是同样的菌种和试剂，所以可以和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结合起来使用，从而起到互相验证和补充的效果(同样的冻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干粉费歇尔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弧菌，空白测试液和阳性控制液)。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3571875" cy="2390775"/>
                  <wp:effectExtent l="0" t="0" r="9525" b="9525"/>
                  <wp:docPr id="5" name="图片 5" descr="http://www.webced.com.cn/Upload/cc201701121105029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ebced.com.cn/Upload/cc201701121105029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应用领域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 .可用于自来水公司的取水水源的保护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.废水处理工程中的检测:测定废水处理前和处理后的毒性值，以对其处理过程和效果进行监控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.为HACCP应用食品用水安全的检测和监控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.可以和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的测定结果进行验证和确定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.可以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对费歇尔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弧菌的活性进行测定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.可以和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的测定结果进行相互比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对，对发光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菌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本身的QA/QC进行判断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   .其它的一些毒性测试应用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技术参数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检  测  器：超高速单光子计数光电倍增管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波长范围：380~630 nm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检测方法：费氏弧菌发光细菌法，符合IS011348标准，可检测5000种以上毒性化学物质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测量时间：1秒~16.65分钟可选，1秒间隔，通常不超过15分钟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测量模式：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&lt;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BioTox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-S&gt;模式:只测定参比水样和待测水样接触反应后的发光值，对其进行比较，从而得出水样毒性结果的测试模式；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&lt;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BioTox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-B&gt;模式:对参比水样和待测水样的初始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发光值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和接触反应后的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发光值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进行测定比较，从而得出水样毒性结果的测试模式；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RLU&gt;模式:以发光强度((RLU)为单位，测试水体介质中生物荧光发光强度的测试模式(例如ATP或基因诊断和分析的相关测试）。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选配恒温冷却模块：最多可存放30个样品管和2个试剂瓶，保证野外使用时，测试过程完全符合ISO11348标准。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软        件：内置微电脑控制软件，预置6个检测模板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数据存储量：2000 组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用户语言：英语和德语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显  示  屏：LED(128×64像素)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接        口：RS 232接口，可将数据传输至个人电脑或打印机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供        电：电池或220V电源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可充电电池：3节可充电电池或干电池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外接电源：220 V/50 Hz, 115 V/60 Hz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尺        寸：170×150×280 mm(H×W×D)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重        量：2 kg (包括电池)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相对湿度：10%~90% (无冷凝)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操作温度：0℃~45℃</w:t>
            </w:r>
          </w:p>
        </w:tc>
      </w:tr>
    </w:tbl>
    <w:p w:rsidR="00932817" w:rsidRPr="00932817" w:rsidRDefault="00932817" w:rsidP="00932817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932817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932817" w:rsidRPr="00932817" w:rsidRDefault="00932817" w:rsidP="00932817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932817">
        <w:rPr>
          <w:rFonts w:ascii="微软雅黑" w:eastAsia="微软雅黑" w:hAnsi="微软雅黑" w:cs="宋体" w:hint="eastAsia"/>
          <w:b/>
          <w:bCs/>
          <w:color w:val="0000FF"/>
          <w:kern w:val="0"/>
          <w:sz w:val="27"/>
          <w:szCs w:val="27"/>
        </w:rPr>
        <w:lastRenderedPageBreak/>
        <w:t>订货指南</w:t>
      </w:r>
    </w:p>
    <w:tbl>
      <w:tblPr>
        <w:tblW w:w="119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235"/>
        <w:gridCol w:w="3062"/>
        <w:gridCol w:w="4343"/>
      </w:tblGrid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便携式毒性测定仪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01TM32526-10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主机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冷却器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01TM20100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细菌管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01TM548-2138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10支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选配件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振荡器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01TCB00202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耐用金属携带箱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01TM32700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可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调节移液器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01TM6133650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100-1000μl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通讯电缆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01TM20103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软件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07TM29890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试剂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可测量40个样品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02TCB00304-B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一盒，10支，储存温度:20℃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试剂，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含控制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液和活化液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02TM00306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一盒，20支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空白液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02TCB00307ML100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100mL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氯化钠溶液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02TCB3180050ML100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浓度为20%的氯化钠溶液100ML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4mg/L硫酸锌溶液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02TCB00309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硫酸锌溶液100mL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重组液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02TCB00310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100mL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消耗品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一次性玻璃比色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04AZF686004-200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12×50mm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宽孔移液管吸头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04AZFV020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10-100 μl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宽孔移液管吸头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04AZFV021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100-1000 μl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SA11403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无菌移液器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04TC3451431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10ml</w:t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SA11404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适配器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04TM32737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15mm×42mm</w:t>
            </w:r>
          </w:p>
        </w:tc>
      </w:tr>
    </w:tbl>
    <w:p w:rsidR="00932817" w:rsidRDefault="00932817">
      <w:pPr>
        <w:rPr>
          <w:rFonts w:hint="eastAsia"/>
        </w:rPr>
      </w:pPr>
    </w:p>
    <w:p w:rsidR="00932817" w:rsidRDefault="00932817">
      <w:pPr>
        <w:rPr>
          <w:rFonts w:hint="eastAsia"/>
        </w:rPr>
      </w:pPr>
    </w:p>
    <w:tbl>
      <w:tblPr>
        <w:tblW w:w="115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533"/>
        <w:gridCol w:w="3021"/>
      </w:tblGrid>
      <w:tr w:rsidR="00932817" w:rsidRPr="00932817" w:rsidTr="0093281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2817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地表水：河流、湖泊、水库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876425" cy="3790950"/>
                  <wp:effectExtent l="0" t="0" r="9525" b="0"/>
                  <wp:docPr id="6" name="图片 6" descr="http://www.webced.com.cn/Upload/cc201701121000192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ebced.com.cn/Upload/cc201701121000192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饮用水：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取水：水源地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制水：过程监测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供水：管网监测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废水：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污水厂消毒后排口监测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中水回用监测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技术特性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采用符合ISO标准的费氏弧菌；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生物发光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菌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全自动培养装置；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对5000种以上毒性化学物质有响应；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数据和相关信息可快速上传至在线数据库，用于毒性报警监控和生成数据模型；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发光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菌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培养：双槽设计，自动切换；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可选配SPE（固相萃取技术）装置，对水样进行浓缩后检测，浓缩倍数可达1000倍；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可选配UV-VIS全光谱分析仪，组成功能强大的水源水质早期预警系统；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可选配藻类测量探头，测量蓝绿藻、叶绿素-a和浊度等；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可选配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水样除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余氯装置；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标样自动校准，采用双路对照检测技术，在检测样本的同时，可检测参考水样进行毒性对比；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仪器自动验证，系统能定期自动用标样做实验，验证仪器工作是否正常；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符合ISO11348-3标准；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提供国际权威机构，如美国EPA技术报告或欧盟CE认证。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测量原理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传统的化学分析方法只能检测到常规的毒性物质，单一的检测参数很难对水体的毒性给出综合的评价；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  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在线综合毒性监测仪使用费氏弧菌作为生物感应器。在发光细菌暴露到被检测样本前后分别检测发光强度，计算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光损失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百分比，从而判断被测水样的综合毒性水平。同时在预设时间段使用标准毒性物进行校准，避免错报和漏报情况。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32817" w:rsidRPr="00932817" w:rsidTr="009328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17" w:rsidRPr="00932817" w:rsidRDefault="00932817" w:rsidP="009328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检测范围：对5000种以上毒性化学物质有响应；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零点漂移：纯水检测毒性指标：±2%；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标准差：纯水24小时重复实验，标准差≤3%；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重复性：实际确认水样24小时重复实验，相对误差≤5%；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维护周期：2周，每次1h；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检测周期：可间断性测试或实时连续测试；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工作环境：工作温度：5℃-40℃；相对湿度：≤90%；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细菌培养时间：≤30分钟，可调；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浊度干扰：可抗；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断电恢复：具备断电保护和来电自动恢复功能；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自动清洗：每次检测完成后都会自动运行清洗程序；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水样温度：15-30℃；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环境温度：5-40℃，室温超过30℃需要使用空调；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防护等级：IP31；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水样用量：10 mL/h (4.5 ml /每次测试，2次/每小时)；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参比水样用量：100 mL/h 每次，不含氯，可选配电磁阀以控制用量；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测量范围：0~100% 抑制率；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纯水单独检测时光损失：在-2%~+2%之间；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标准测量周期：40分钟；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标准配置：TCP/IP协议和4~20 mA输出；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选配：外置56k USB 模块；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选配：外置的COM端口为Modbus数据通信协议使用；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硬件：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装配在通风性良好的仪器柜内，带玻璃的正门可锁死，17寸液晶显示屏, 带键盘鼠标触摸板, 可读写DVD；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仪器尺寸：</w:t>
            </w:r>
            <w:proofErr w:type="gram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50×50×</w:t>
            </w:r>
            <w:proofErr w:type="gram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 cm (深×宽×高)；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重量：90 kg (不包括选配的空调：20kg)；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电源：220Vac，50 Hz；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软件：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TOXcontrol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Engine 软件：用于仪器设置及控制；</w:t>
            </w:r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            </w:t>
            </w:r>
            <w:proofErr w:type="spellStart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TOXview</w:t>
            </w:r>
            <w:proofErr w:type="spellEnd"/>
            <w:r w:rsidRPr="009328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软件：对测量结果进行评价，保存测量数据，查询历史记录。</w:t>
            </w:r>
          </w:p>
        </w:tc>
      </w:tr>
    </w:tbl>
    <w:p w:rsidR="00932817" w:rsidRPr="00932817" w:rsidRDefault="00932817">
      <w:bookmarkStart w:id="0" w:name="_GoBack"/>
      <w:bookmarkEnd w:id="0"/>
    </w:p>
    <w:sectPr w:rsidR="00932817" w:rsidRPr="00932817" w:rsidSect="009328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8"/>
    <w:rsid w:val="003543C8"/>
    <w:rsid w:val="00576447"/>
    <w:rsid w:val="009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8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2817"/>
    <w:rPr>
      <w:sz w:val="18"/>
      <w:szCs w:val="18"/>
    </w:rPr>
  </w:style>
  <w:style w:type="paragraph" w:styleId="a4">
    <w:name w:val="Normal (Web)"/>
    <w:basedOn w:val="a"/>
    <w:uiPriority w:val="99"/>
    <w:unhideWhenUsed/>
    <w:rsid w:val="00932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8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2817"/>
    <w:rPr>
      <w:sz w:val="18"/>
      <w:szCs w:val="18"/>
    </w:rPr>
  </w:style>
  <w:style w:type="paragraph" w:styleId="a4">
    <w:name w:val="Normal (Web)"/>
    <w:basedOn w:val="a"/>
    <w:uiPriority w:val="99"/>
    <w:unhideWhenUsed/>
    <w:rsid w:val="00932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2019-01-22T10:28:00Z</dcterms:created>
  <dcterms:modified xsi:type="dcterms:W3CDTF">2019-01-22T10:36:00Z</dcterms:modified>
</cp:coreProperties>
</file>