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Style w:val="9"/>
          <w:rFonts w:hint="eastAsia" w:asciiTheme="majorEastAsia" w:hAnsiTheme="majorEastAsia" w:eastAsiaTheme="majorEastAsia" w:cstheme="majorEastAsia"/>
          <w:b/>
          <w:bCs/>
          <w:i w:val="0"/>
          <w:caps w:val="0"/>
          <w:color w:val="0C826A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C826A"/>
          <w:spacing w:val="0"/>
          <w:sz w:val="44"/>
          <w:szCs w:val="44"/>
          <w:shd w:val="clear" w:fill="FFFFFF"/>
        </w:rPr>
        <w:t>FA1004B-2204B系列万分之一电子分析天平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一、产品介绍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229235</wp:posOffset>
            </wp:positionV>
            <wp:extent cx="2047875" cy="3056890"/>
            <wp:effectExtent l="0" t="0" r="9525" b="10160"/>
            <wp:wrapTight wrapText="left">
              <wp:wrapPolygon>
                <wp:start x="0" y="0"/>
                <wp:lineTo x="0" y="21403"/>
                <wp:lineTo x="21500" y="21403"/>
                <wp:lineTo x="21500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1"/>
          <w:szCs w:val="21"/>
          <w:bdr w:val="none" w:color="auto" w:sz="0" w:space="0"/>
          <w:shd w:val="clear" w:fill="FFFFFF"/>
        </w:rPr>
        <w:t>FA1004B-2204B系列万分之一电子分析天平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采用电磁平衡式传感器技术来进行开发研制的，它具有高精度、环境适应性强等特点，同时还有线性四点校准、计数功能和多种单位转换等功能。将传统的分类元件线路板改成大数字集成型，使该系列电子天平的性能更加稳定，且反应速度更快，同时具有积分可调和稳定度、灵敏度可调功能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它是将称盘与通电线圈相连接，置于磁场中，当被称物置于称盘后，因重力向下，线圈上就会产生一个电磁力，与重力大小相等方向相反。这时传感器输出电信号，经整流放大，改变线圈上的电流，直至线圈回位，其电流强度与被称物体的重力成正比。而这个重力正是物质的质量所产生的，由此产生的电信号通过模拟系统后，将被称物品的质量显示出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二、产品参数</w:t>
      </w:r>
    </w:p>
    <w:tbl>
      <w:tblPr>
        <w:tblW w:w="925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009"/>
        <w:gridCol w:w="814"/>
        <w:gridCol w:w="1070"/>
        <w:gridCol w:w="1492"/>
        <w:gridCol w:w="1658"/>
        <w:gridCol w:w="814"/>
        <w:gridCol w:w="14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型号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称量范围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可读性</w:t>
            </w: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秤盘尺寸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工作空间高度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外形尺寸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重量</w:t>
            </w:r>
          </w:p>
        </w:tc>
        <w:tc>
          <w:tcPr>
            <w:tcW w:w="1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电源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FA1004B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0-100g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0.1mg</w:t>
            </w: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80mm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240mm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350*215*340mm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7.5kg</w:t>
            </w:r>
          </w:p>
        </w:tc>
        <w:tc>
          <w:tcPr>
            <w:tcW w:w="1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220V/50HZ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FA1204B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0-120g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0.1mg</w:t>
            </w: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80mm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240mm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350*215*340mm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7.5kg</w:t>
            </w:r>
          </w:p>
        </w:tc>
        <w:tc>
          <w:tcPr>
            <w:tcW w:w="1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220V/50HZ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FA2004B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0-200g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0.1mg</w:t>
            </w: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80mm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240mm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350*215*340mm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7.5kg</w:t>
            </w:r>
          </w:p>
        </w:tc>
        <w:tc>
          <w:tcPr>
            <w:tcW w:w="1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220V/50HZ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FA2204B</w:t>
            </w:r>
          </w:p>
        </w:tc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0-220g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0.1mg</w:t>
            </w: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80mm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240mm</w:t>
            </w:r>
          </w:p>
        </w:tc>
        <w:tc>
          <w:tcPr>
            <w:tcW w:w="16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350*215*340mm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7.5kg</w:t>
            </w:r>
          </w:p>
        </w:tc>
        <w:tc>
          <w:tcPr>
            <w:tcW w:w="14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bdr w:val="none" w:color="auto" w:sz="0" w:space="0"/>
              </w:rPr>
              <w:t>220V/50HZ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0B876F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三、产品特点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它是将称盘与通电线圈相连接，置于磁场中，当被称物置于称盘后，因重力向下，线圈上就会产生一个电磁力，与重力大小相等方向相反。这时传感器输出电信号，经整流放大，改变线圈上的电流，直至线圈回位，其电流强度与被称物体的重力成正比。而这个重力正是物质的质量所产生的，由此产生的电信号通过模拟系统后，将被称物品的质量显示出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1、采用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蓝色背光大液晶显示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（120*55mm）,显示功能完备。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2、采用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德国STL研究所传感器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软件技术，支持多点校正，使仪器的性能更稳定。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3、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四面防静电涂层玻璃防风罩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，能有效地屏蔽外界静电荷的干扰，视野清晰。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b w:val="0"/>
          <w:bCs w:val="0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4、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内置RS232标准接口，可连接打印机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、计算机等设备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5、单位转换：克拉、盎司、克三种不同称量单位的转换。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1"/>
          <w:szCs w:val="21"/>
          <w:bdr w:val="none" w:color="auto" w:sz="0" w:space="0"/>
          <w:shd w:val="clear" w:fill="FFFFFF"/>
        </w:rPr>
        <w:t>获得国家专利，专利号为：ZL201020562335.X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0B876F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B876F"/>
          <w:spacing w:val="0"/>
          <w:sz w:val="24"/>
          <w:szCs w:val="24"/>
          <w:bdr w:val="none" w:color="auto" w:sz="0" w:space="0"/>
          <w:shd w:val="clear" w:fill="FFFFFF"/>
        </w:rPr>
        <w:t>聚创环保为您提供全面的技术支持和完善的售后服务！详情咨询：0532-66087265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644" w:left="1134" w:header="651" w:footer="57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/>
        <w:bCs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4445</wp:posOffset>
              </wp:positionV>
              <wp:extent cx="397510" cy="27813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75pt;margin-top:0.35pt;height:21.9pt;width:31.3pt;mso-position-horizontal-relative:margin;z-index:251664384;mso-width-relative:page;mso-height-relative:page;" filled="f" stroked="f" coordsize="21600,21600" o:gfxdata="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bW1WtYAAAAHAQAADwAAAAAAAAABACAAAAAiAAAAZHJzL2Rv&#10;d25yZXYueG1sUEsBAhQAFAAAAAgAh07iQIOaajHKAQAAbA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b/>
        <w:bCs/>
        <w:lang w:eastAsia="zh-CN"/>
      </w:rPr>
      <w:drawing>
        <wp:anchor distT="0" distB="0" distL="114935" distR="114935" simplePos="0" relativeHeight="251666432" behindDoc="1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-535305</wp:posOffset>
          </wp:positionV>
          <wp:extent cx="7565390" cy="1006475"/>
          <wp:effectExtent l="0" t="0" r="16510" b="3175"/>
          <wp:wrapNone/>
          <wp:docPr id="6" name="图片 6" descr="彩页111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彩页111_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90"/>
        <w:tab w:val="right" w:pos="8620"/>
        <w:tab w:val="clear" w:pos="8306"/>
      </w:tabs>
      <w:ind w:firstLine="211" w:firstLineChars="100"/>
      <w:jc w:val="center"/>
      <w:rPr>
        <w:rFonts w:hint="eastAsia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-351155</wp:posOffset>
          </wp:positionV>
          <wp:extent cx="7574915" cy="1173480"/>
          <wp:effectExtent l="0" t="0" r="6985" b="7620"/>
          <wp:wrapTopAndBottom/>
          <wp:docPr id="1" name="图片 1" descr="彩页11100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彩页11100_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tabs>
        <w:tab w:val="left" w:pos="8190"/>
        <w:tab w:val="right" w:pos="8620"/>
        <w:tab w:val="clear" w:pos="8306"/>
      </w:tabs>
      <w:jc w:val="left"/>
      <w:rPr>
        <w:rFonts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w:t xml:space="preserve">          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16EB1"/>
    <w:rsid w:val="02C45655"/>
    <w:rsid w:val="04163C20"/>
    <w:rsid w:val="08082264"/>
    <w:rsid w:val="088611E9"/>
    <w:rsid w:val="095B66C5"/>
    <w:rsid w:val="0A410839"/>
    <w:rsid w:val="0BAF3986"/>
    <w:rsid w:val="0BD21406"/>
    <w:rsid w:val="0E8262CC"/>
    <w:rsid w:val="0FE46700"/>
    <w:rsid w:val="1046327E"/>
    <w:rsid w:val="1196531A"/>
    <w:rsid w:val="11BA6177"/>
    <w:rsid w:val="127956DA"/>
    <w:rsid w:val="1474040C"/>
    <w:rsid w:val="14FF6EB2"/>
    <w:rsid w:val="1522284F"/>
    <w:rsid w:val="166F636B"/>
    <w:rsid w:val="19127794"/>
    <w:rsid w:val="1AFA271D"/>
    <w:rsid w:val="1B282B25"/>
    <w:rsid w:val="1B3C4FF8"/>
    <w:rsid w:val="1B7B083D"/>
    <w:rsid w:val="1CEE154D"/>
    <w:rsid w:val="1D906344"/>
    <w:rsid w:val="1E1E7203"/>
    <w:rsid w:val="1E5B3C3A"/>
    <w:rsid w:val="204047D9"/>
    <w:rsid w:val="21482AF9"/>
    <w:rsid w:val="24301734"/>
    <w:rsid w:val="26505454"/>
    <w:rsid w:val="26DE4FF0"/>
    <w:rsid w:val="2824648C"/>
    <w:rsid w:val="28B86BAA"/>
    <w:rsid w:val="28F24B2E"/>
    <w:rsid w:val="2ABC381B"/>
    <w:rsid w:val="2CC67B2E"/>
    <w:rsid w:val="2D6704E0"/>
    <w:rsid w:val="31DB49AE"/>
    <w:rsid w:val="33C0786B"/>
    <w:rsid w:val="34A40A35"/>
    <w:rsid w:val="35943CBD"/>
    <w:rsid w:val="366A4B4F"/>
    <w:rsid w:val="37310851"/>
    <w:rsid w:val="3A3E4839"/>
    <w:rsid w:val="3C550795"/>
    <w:rsid w:val="3CAD2244"/>
    <w:rsid w:val="3CE20BFE"/>
    <w:rsid w:val="45D84C1D"/>
    <w:rsid w:val="46716EB1"/>
    <w:rsid w:val="4EBA16C5"/>
    <w:rsid w:val="4F91277F"/>
    <w:rsid w:val="50BA01EF"/>
    <w:rsid w:val="51274080"/>
    <w:rsid w:val="550A5D1D"/>
    <w:rsid w:val="55374C17"/>
    <w:rsid w:val="58BD243F"/>
    <w:rsid w:val="59655574"/>
    <w:rsid w:val="59D0610C"/>
    <w:rsid w:val="5A883DAF"/>
    <w:rsid w:val="5B2A3E8C"/>
    <w:rsid w:val="5BBB7440"/>
    <w:rsid w:val="5CF11AD4"/>
    <w:rsid w:val="5E4B5033"/>
    <w:rsid w:val="5E853746"/>
    <w:rsid w:val="60403A43"/>
    <w:rsid w:val="60606302"/>
    <w:rsid w:val="61152F34"/>
    <w:rsid w:val="63862ED5"/>
    <w:rsid w:val="654D1C74"/>
    <w:rsid w:val="68322FB1"/>
    <w:rsid w:val="698C7A12"/>
    <w:rsid w:val="6DCD0E1D"/>
    <w:rsid w:val="6DED57D9"/>
    <w:rsid w:val="6E0A37B3"/>
    <w:rsid w:val="6F104C17"/>
    <w:rsid w:val="706B474E"/>
    <w:rsid w:val="73255591"/>
    <w:rsid w:val="745449AF"/>
    <w:rsid w:val="766C3FDC"/>
    <w:rsid w:val="77761844"/>
    <w:rsid w:val="77B73E11"/>
    <w:rsid w:val="7A061492"/>
    <w:rsid w:val="7A1477A4"/>
    <w:rsid w:val="7BC95CC2"/>
    <w:rsid w:val="7BD42B58"/>
    <w:rsid w:val="7C4A764B"/>
    <w:rsid w:val="7C5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="0" w:afterAutospacing="1" w:line="240" w:lineRule="auto"/>
      <w:jc w:val="left"/>
    </w:pPr>
    <w:rPr>
      <w:kern w:val="0"/>
      <w:sz w:val="24"/>
      <w:szCs w:val="20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2018-01-31T02:23:00Z</dcterms:created>
  <dc:creator>聚创环保</dc:creator>
  <cp:lastModifiedBy>Administrator</cp:lastModifiedBy>
  <cp:lastPrinted>2018-02-02T07:18:00Z</cp:lastPrinted>
  <dcterms:modified xsi:type="dcterms:W3CDTF">2018-12-19T04:57:14Z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