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color w:val="000000"/>
          <w:sz w:val="52"/>
          <w:szCs w:val="52"/>
        </w:rPr>
      </w:pPr>
    </w:p>
    <w:p>
      <w:pPr>
        <w:spacing w:line="360" w:lineRule="auto"/>
        <w:jc w:val="center"/>
        <w:rPr>
          <w:b/>
          <w:color w:val="000000"/>
          <w:sz w:val="52"/>
          <w:szCs w:val="52"/>
        </w:rPr>
      </w:pPr>
    </w:p>
    <w:p>
      <w:pPr>
        <w:spacing w:line="360" w:lineRule="auto"/>
        <w:jc w:val="center"/>
        <w:rPr>
          <w:b/>
          <w:color w:val="000000"/>
          <w:sz w:val="52"/>
          <w:szCs w:val="52"/>
        </w:rPr>
      </w:pPr>
      <w:r>
        <w:rPr>
          <w:rFonts w:hint="eastAsia"/>
          <w:b/>
          <w:color w:val="000000"/>
          <w:sz w:val="52"/>
          <w:szCs w:val="52"/>
        </w:rPr>
        <w:t>大连理工大学</w:t>
      </w:r>
    </w:p>
    <w:p>
      <w:pPr>
        <w:spacing w:line="360" w:lineRule="auto"/>
        <w:jc w:val="center"/>
        <w:rPr>
          <w:b/>
          <w:color w:val="000000"/>
          <w:sz w:val="52"/>
          <w:szCs w:val="52"/>
        </w:rPr>
      </w:pPr>
      <w:r>
        <w:rPr>
          <w:rFonts w:hint="eastAsia" w:cs="Times New Roman"/>
          <w:b/>
          <w:color w:val="000000"/>
          <w:spacing w:val="60"/>
          <w:kern w:val="2"/>
          <w:sz w:val="84"/>
          <w:szCs w:val="84"/>
        </w:rPr>
        <w:t>单一来源采购文件</w:t>
      </w:r>
    </w:p>
    <w:p>
      <w:pPr>
        <w:spacing w:line="360" w:lineRule="auto"/>
        <w:jc w:val="center"/>
        <w:rPr>
          <w:b/>
          <w:color w:val="000000"/>
          <w:sz w:val="84"/>
          <w:szCs w:val="84"/>
        </w:rPr>
      </w:pPr>
    </w:p>
    <w:p>
      <w:pPr>
        <w:spacing w:line="360" w:lineRule="auto"/>
        <w:jc w:val="center"/>
        <w:rPr>
          <w:b/>
          <w:color w:val="000000"/>
          <w:sz w:val="84"/>
          <w:szCs w:val="84"/>
        </w:rPr>
      </w:pPr>
    </w:p>
    <w:p>
      <w:pPr>
        <w:spacing w:line="360" w:lineRule="auto"/>
        <w:jc w:val="center"/>
        <w:rPr>
          <w:b/>
          <w:color w:val="000000"/>
          <w:sz w:val="84"/>
          <w:szCs w:val="84"/>
        </w:rPr>
      </w:pPr>
    </w:p>
    <w:p>
      <w:pPr>
        <w:spacing w:line="360" w:lineRule="auto"/>
        <w:jc w:val="center"/>
        <w:rPr>
          <w:b/>
          <w:color w:val="000000"/>
          <w:sz w:val="84"/>
          <w:szCs w:val="84"/>
        </w:rPr>
      </w:pPr>
    </w:p>
    <w:p>
      <w:pPr>
        <w:spacing w:line="360" w:lineRule="auto"/>
        <w:ind w:left="2268" w:leftChars="945"/>
        <w:jc w:val="both"/>
        <w:rPr>
          <w:b/>
          <w:color w:val="000000"/>
          <w:sz w:val="32"/>
          <w:szCs w:val="32"/>
        </w:rPr>
      </w:pPr>
      <w:r>
        <w:rPr>
          <w:rFonts w:hint="eastAsia"/>
          <w:b/>
          <w:color w:val="000000"/>
          <w:sz w:val="32"/>
          <w:szCs w:val="32"/>
        </w:rPr>
        <w:t>采 购 人</w:t>
      </w:r>
      <w:r>
        <w:rPr>
          <w:rFonts w:hint="eastAsia"/>
          <w:b/>
          <w:color w:val="000000"/>
          <w:sz w:val="32"/>
          <w:szCs w:val="32"/>
          <w:lang w:val="en-US" w:eastAsia="zh-CN"/>
        </w:rPr>
        <w:t>:</w:t>
      </w:r>
      <w:r>
        <w:rPr>
          <w:rFonts w:hint="eastAsia"/>
          <w:b/>
          <w:color w:val="000000"/>
          <w:sz w:val="32"/>
          <w:szCs w:val="32"/>
        </w:rPr>
        <w:t>大连理工大学</w:t>
      </w:r>
    </w:p>
    <w:p>
      <w:pPr>
        <w:spacing w:line="360" w:lineRule="auto"/>
        <w:ind w:left="2268" w:leftChars="945"/>
        <w:jc w:val="both"/>
        <w:rPr>
          <w:b/>
          <w:color w:val="000000"/>
          <w:sz w:val="32"/>
          <w:szCs w:val="32"/>
        </w:rPr>
      </w:pPr>
      <w:r>
        <w:rPr>
          <w:rFonts w:hint="eastAsia"/>
          <w:b/>
          <w:color w:val="000000"/>
          <w:sz w:val="32"/>
          <w:szCs w:val="32"/>
        </w:rPr>
        <w:t>项目名称：600M全数字化超导核磁共振谱仪</w:t>
      </w:r>
    </w:p>
    <w:p>
      <w:pPr>
        <w:spacing w:line="360" w:lineRule="auto"/>
        <w:ind w:left="2268" w:leftChars="945"/>
        <w:jc w:val="both"/>
        <w:rPr>
          <w:b/>
          <w:color w:val="000000"/>
          <w:sz w:val="32"/>
          <w:szCs w:val="32"/>
        </w:rPr>
      </w:pPr>
      <w:r>
        <w:rPr>
          <w:rFonts w:hint="eastAsia"/>
          <w:b/>
          <w:color w:val="000000"/>
          <w:sz w:val="32"/>
          <w:szCs w:val="32"/>
        </w:rPr>
        <w:t xml:space="preserve">项目编号：DUTASD-2018038 </w:t>
      </w:r>
    </w:p>
    <w:p>
      <w:pPr>
        <w:spacing w:line="360" w:lineRule="auto"/>
        <w:jc w:val="center"/>
        <w:rPr>
          <w:b/>
          <w:color w:val="000000"/>
          <w:sz w:val="32"/>
          <w:szCs w:val="32"/>
        </w:rPr>
      </w:pPr>
    </w:p>
    <w:p>
      <w:pPr>
        <w:spacing w:before="163" w:beforeLines="50" w:after="815" w:afterLines="250" w:line="276" w:lineRule="auto"/>
        <w:jc w:val="center"/>
        <w:rPr>
          <w:b/>
          <w:color w:val="000000"/>
          <w:sz w:val="48"/>
          <w:szCs w:val="32"/>
        </w:rPr>
        <w:sectPr>
          <w:headerReference r:id="rId3" w:type="default"/>
          <w:footerReference r:id="rId5" w:type="default"/>
          <w:headerReference r:id="rId4" w:type="even"/>
          <w:footerReference r:id="rId6" w:type="even"/>
          <w:pgSz w:w="11906" w:h="16838"/>
          <w:pgMar w:top="1440" w:right="1800" w:bottom="1440" w:left="1800" w:header="851" w:footer="992" w:gutter="0"/>
          <w:pgNumType w:start="1"/>
          <w:cols w:space="720" w:num="1"/>
          <w:docGrid w:type="lines" w:linePitch="326" w:charSpace="0"/>
        </w:sectPr>
      </w:pPr>
    </w:p>
    <w:p>
      <w:pPr>
        <w:spacing w:before="163" w:beforeLines="50" w:after="815" w:afterLines="250" w:line="276" w:lineRule="auto"/>
        <w:jc w:val="center"/>
        <w:rPr>
          <w:b/>
          <w:color w:val="000000"/>
          <w:sz w:val="48"/>
          <w:szCs w:val="32"/>
        </w:rPr>
      </w:pPr>
      <w:r>
        <w:rPr>
          <w:rFonts w:hint="eastAsia"/>
          <w:b/>
          <w:color w:val="000000"/>
          <w:sz w:val="48"/>
          <w:szCs w:val="32"/>
        </w:rPr>
        <w:t>目录</w:t>
      </w:r>
    </w:p>
    <w:p>
      <w:pPr>
        <w:spacing w:line="400" w:lineRule="exact"/>
        <w:ind w:left="1800"/>
        <w:jc w:val="center"/>
        <w:rPr>
          <w:b/>
          <w:color w:val="000000"/>
          <w:sz w:val="32"/>
          <w:szCs w:val="32"/>
        </w:rPr>
      </w:pPr>
    </w:p>
    <w:p>
      <w:pPr>
        <w:pStyle w:val="13"/>
        <w:tabs>
          <w:tab w:val="right" w:leader="dot" w:pos="8306"/>
        </w:tabs>
        <w:spacing w:line="480" w:lineRule="auto"/>
        <w:rPr>
          <w:b/>
          <w:bCs/>
        </w:rPr>
      </w:pPr>
      <w:r>
        <w:rPr>
          <w:color w:val="000000"/>
          <w:sz w:val="32"/>
          <w:szCs w:val="32"/>
        </w:rPr>
        <w:fldChar w:fldCharType="begin"/>
      </w:r>
      <w:r>
        <w:rPr>
          <w:color w:val="000000"/>
          <w:sz w:val="32"/>
          <w:szCs w:val="32"/>
        </w:rPr>
        <w:instrText xml:space="preserve"> </w:instrText>
      </w:r>
      <w:r>
        <w:rPr>
          <w:rFonts w:hint="eastAsia"/>
          <w:color w:val="000000"/>
          <w:sz w:val="32"/>
          <w:szCs w:val="32"/>
        </w:rPr>
        <w:instrText xml:space="preserve">TOC \o "1-3" \h \z \u</w:instrText>
      </w:r>
      <w:r>
        <w:rPr>
          <w:color w:val="000000"/>
          <w:sz w:val="32"/>
          <w:szCs w:val="32"/>
        </w:rPr>
        <w:instrText xml:space="preserve"> </w:instrText>
      </w:r>
      <w:r>
        <w:rPr>
          <w:color w:val="000000"/>
          <w:sz w:val="32"/>
          <w:szCs w:val="32"/>
        </w:rPr>
        <w:fldChar w:fldCharType="separate"/>
      </w:r>
      <w:r>
        <w:rPr>
          <w:b/>
          <w:bCs/>
          <w:color w:val="000000"/>
          <w:szCs w:val="32"/>
        </w:rPr>
        <w:fldChar w:fldCharType="begin"/>
      </w:r>
      <w:r>
        <w:rPr>
          <w:b/>
          <w:bCs/>
          <w:szCs w:val="32"/>
        </w:rPr>
        <w:instrText xml:space="preserve"> HYPERLINK \l _Toc29086 </w:instrText>
      </w:r>
      <w:r>
        <w:rPr>
          <w:b/>
          <w:bCs/>
          <w:szCs w:val="32"/>
        </w:rPr>
        <w:fldChar w:fldCharType="separate"/>
      </w:r>
      <w:r>
        <w:rPr>
          <w:rFonts w:hint="default"/>
          <w:b/>
          <w:bCs/>
          <w:szCs w:val="30"/>
        </w:rPr>
        <w:t xml:space="preserve">第一章 </w:t>
      </w:r>
      <w:r>
        <w:rPr>
          <w:rFonts w:hint="eastAsia"/>
          <w:b/>
          <w:bCs/>
          <w:szCs w:val="30"/>
        </w:rPr>
        <w:t>采购邀请函</w:t>
      </w:r>
      <w:r>
        <w:rPr>
          <w:b/>
          <w:bCs/>
        </w:rPr>
        <w:tab/>
      </w:r>
      <w:r>
        <w:rPr>
          <w:b/>
          <w:bCs/>
        </w:rPr>
        <w:fldChar w:fldCharType="begin"/>
      </w:r>
      <w:r>
        <w:rPr>
          <w:b/>
          <w:bCs/>
        </w:rPr>
        <w:instrText xml:space="preserve"> PAGEREF _Toc29086 </w:instrText>
      </w:r>
      <w:r>
        <w:rPr>
          <w:b/>
          <w:bCs/>
        </w:rPr>
        <w:fldChar w:fldCharType="separate"/>
      </w:r>
      <w:r>
        <w:rPr>
          <w:b/>
          <w:bCs/>
        </w:rPr>
        <w:t>1</w:t>
      </w:r>
      <w:r>
        <w:rPr>
          <w:b/>
          <w:bCs/>
        </w:rPr>
        <w:fldChar w:fldCharType="end"/>
      </w:r>
      <w:r>
        <w:rPr>
          <w:b/>
          <w:bCs/>
          <w:color w:val="000000"/>
          <w:szCs w:val="32"/>
        </w:rPr>
        <w:fldChar w:fldCharType="end"/>
      </w:r>
    </w:p>
    <w:p>
      <w:pPr>
        <w:pStyle w:val="13"/>
        <w:tabs>
          <w:tab w:val="right" w:leader="dot" w:pos="8306"/>
        </w:tabs>
        <w:spacing w:line="480" w:lineRule="auto"/>
        <w:rPr>
          <w:b/>
          <w:bCs/>
        </w:rPr>
      </w:pPr>
      <w:r>
        <w:rPr>
          <w:b/>
          <w:bCs/>
          <w:color w:val="000000"/>
          <w:szCs w:val="32"/>
        </w:rPr>
        <w:fldChar w:fldCharType="begin"/>
      </w:r>
      <w:r>
        <w:rPr>
          <w:b/>
          <w:bCs/>
          <w:szCs w:val="32"/>
        </w:rPr>
        <w:instrText xml:space="preserve"> HYPERLINK \l _Toc14666 </w:instrText>
      </w:r>
      <w:r>
        <w:rPr>
          <w:b/>
          <w:bCs/>
          <w:szCs w:val="32"/>
        </w:rPr>
        <w:fldChar w:fldCharType="separate"/>
      </w:r>
      <w:r>
        <w:rPr>
          <w:rFonts w:hint="default"/>
          <w:b/>
          <w:bCs/>
          <w:szCs w:val="30"/>
        </w:rPr>
        <w:t xml:space="preserve">第二章 </w:t>
      </w:r>
      <w:r>
        <w:rPr>
          <w:rFonts w:hint="eastAsia"/>
          <w:b/>
          <w:bCs/>
          <w:szCs w:val="30"/>
        </w:rPr>
        <w:t>供应</w:t>
      </w:r>
      <w:r>
        <w:rPr>
          <w:b/>
          <w:bCs/>
          <w:szCs w:val="30"/>
        </w:rPr>
        <w:t>商须知</w:t>
      </w:r>
      <w:r>
        <w:rPr>
          <w:b/>
          <w:bCs/>
        </w:rPr>
        <w:tab/>
      </w:r>
      <w:r>
        <w:rPr>
          <w:b/>
          <w:bCs/>
        </w:rPr>
        <w:fldChar w:fldCharType="begin"/>
      </w:r>
      <w:r>
        <w:rPr>
          <w:b/>
          <w:bCs/>
        </w:rPr>
        <w:instrText xml:space="preserve"> PAGEREF _Toc14666 </w:instrText>
      </w:r>
      <w:r>
        <w:rPr>
          <w:b/>
          <w:bCs/>
        </w:rPr>
        <w:fldChar w:fldCharType="separate"/>
      </w:r>
      <w:r>
        <w:rPr>
          <w:b/>
          <w:bCs/>
        </w:rPr>
        <w:t>2</w:t>
      </w:r>
      <w:r>
        <w:rPr>
          <w:b/>
          <w:bCs/>
        </w:rPr>
        <w:fldChar w:fldCharType="end"/>
      </w:r>
      <w:r>
        <w:rPr>
          <w:b/>
          <w:bCs/>
          <w:color w:val="000000"/>
          <w:szCs w:val="32"/>
        </w:rPr>
        <w:fldChar w:fldCharType="end"/>
      </w:r>
    </w:p>
    <w:p>
      <w:pPr>
        <w:pStyle w:val="13"/>
        <w:tabs>
          <w:tab w:val="right" w:leader="dot" w:pos="8306"/>
        </w:tabs>
        <w:spacing w:line="480" w:lineRule="auto"/>
        <w:rPr>
          <w:b/>
          <w:bCs/>
        </w:rPr>
      </w:pPr>
      <w:r>
        <w:rPr>
          <w:b/>
          <w:bCs/>
          <w:color w:val="000000"/>
          <w:szCs w:val="32"/>
        </w:rPr>
        <w:fldChar w:fldCharType="begin"/>
      </w:r>
      <w:r>
        <w:rPr>
          <w:b/>
          <w:bCs/>
          <w:szCs w:val="32"/>
        </w:rPr>
        <w:instrText xml:space="preserve"> HYPERLINK \l _Toc3202 </w:instrText>
      </w:r>
      <w:r>
        <w:rPr>
          <w:b/>
          <w:bCs/>
          <w:szCs w:val="32"/>
        </w:rPr>
        <w:fldChar w:fldCharType="separate"/>
      </w:r>
      <w:r>
        <w:rPr>
          <w:rFonts w:hint="default"/>
          <w:b/>
          <w:bCs/>
          <w:szCs w:val="30"/>
        </w:rPr>
        <w:t xml:space="preserve">第三章 </w:t>
      </w:r>
      <w:r>
        <w:rPr>
          <w:rFonts w:hint="eastAsia"/>
          <w:b/>
          <w:bCs/>
          <w:szCs w:val="30"/>
        </w:rPr>
        <w:t>货物清单及技术</w:t>
      </w:r>
      <w:bookmarkStart w:id="7" w:name="_GoBack"/>
      <w:bookmarkEnd w:id="7"/>
      <w:r>
        <w:rPr>
          <w:rFonts w:hint="eastAsia"/>
          <w:b/>
          <w:bCs/>
          <w:szCs w:val="30"/>
        </w:rPr>
        <w:t>要求</w:t>
      </w:r>
      <w:r>
        <w:rPr>
          <w:b/>
          <w:bCs/>
        </w:rPr>
        <w:tab/>
      </w:r>
      <w:r>
        <w:rPr>
          <w:b/>
          <w:bCs/>
        </w:rPr>
        <w:fldChar w:fldCharType="begin"/>
      </w:r>
      <w:r>
        <w:rPr>
          <w:b/>
          <w:bCs/>
        </w:rPr>
        <w:instrText xml:space="preserve"> PAGEREF _Toc3202 </w:instrText>
      </w:r>
      <w:r>
        <w:rPr>
          <w:b/>
          <w:bCs/>
        </w:rPr>
        <w:fldChar w:fldCharType="separate"/>
      </w:r>
      <w:r>
        <w:rPr>
          <w:b/>
          <w:bCs/>
        </w:rPr>
        <w:t>5</w:t>
      </w:r>
      <w:r>
        <w:rPr>
          <w:b/>
          <w:bCs/>
        </w:rPr>
        <w:fldChar w:fldCharType="end"/>
      </w:r>
      <w:r>
        <w:rPr>
          <w:b/>
          <w:bCs/>
          <w:color w:val="000000"/>
          <w:szCs w:val="32"/>
        </w:rPr>
        <w:fldChar w:fldCharType="end"/>
      </w:r>
    </w:p>
    <w:p>
      <w:pPr>
        <w:pStyle w:val="13"/>
        <w:tabs>
          <w:tab w:val="right" w:leader="dot" w:pos="8306"/>
        </w:tabs>
        <w:spacing w:line="480" w:lineRule="auto"/>
        <w:rPr>
          <w:b/>
          <w:bCs/>
        </w:rPr>
      </w:pPr>
      <w:r>
        <w:rPr>
          <w:b/>
          <w:bCs/>
          <w:color w:val="000000"/>
          <w:szCs w:val="32"/>
        </w:rPr>
        <w:fldChar w:fldCharType="begin"/>
      </w:r>
      <w:r>
        <w:rPr>
          <w:b/>
          <w:bCs/>
          <w:szCs w:val="32"/>
        </w:rPr>
        <w:instrText xml:space="preserve"> HYPERLINK \l _Toc28499 </w:instrText>
      </w:r>
      <w:r>
        <w:rPr>
          <w:b/>
          <w:bCs/>
          <w:szCs w:val="32"/>
        </w:rPr>
        <w:fldChar w:fldCharType="separate"/>
      </w:r>
      <w:r>
        <w:rPr>
          <w:rFonts w:hint="eastAsia"/>
          <w:b/>
          <w:bCs/>
          <w:szCs w:val="36"/>
        </w:rPr>
        <w:t>附件一：谈判响应书</w:t>
      </w:r>
      <w:r>
        <w:rPr>
          <w:b/>
          <w:bCs/>
        </w:rPr>
        <w:tab/>
      </w:r>
      <w:r>
        <w:rPr>
          <w:b/>
          <w:bCs/>
        </w:rPr>
        <w:fldChar w:fldCharType="begin"/>
      </w:r>
      <w:r>
        <w:rPr>
          <w:b/>
          <w:bCs/>
        </w:rPr>
        <w:instrText xml:space="preserve"> PAGEREF _Toc28499 </w:instrText>
      </w:r>
      <w:r>
        <w:rPr>
          <w:b/>
          <w:bCs/>
        </w:rPr>
        <w:fldChar w:fldCharType="separate"/>
      </w:r>
      <w:r>
        <w:rPr>
          <w:b/>
          <w:bCs/>
        </w:rPr>
        <w:t>10</w:t>
      </w:r>
      <w:r>
        <w:rPr>
          <w:b/>
          <w:bCs/>
        </w:rPr>
        <w:fldChar w:fldCharType="end"/>
      </w:r>
      <w:r>
        <w:rPr>
          <w:b/>
          <w:bCs/>
          <w:color w:val="000000"/>
          <w:szCs w:val="32"/>
        </w:rPr>
        <w:fldChar w:fldCharType="end"/>
      </w:r>
    </w:p>
    <w:p>
      <w:pPr>
        <w:pStyle w:val="13"/>
        <w:tabs>
          <w:tab w:val="right" w:leader="dot" w:pos="8306"/>
        </w:tabs>
        <w:spacing w:line="480" w:lineRule="auto"/>
      </w:pPr>
      <w:r>
        <w:rPr>
          <w:b/>
          <w:bCs/>
          <w:color w:val="000000"/>
          <w:szCs w:val="32"/>
        </w:rPr>
        <w:fldChar w:fldCharType="begin"/>
      </w:r>
      <w:r>
        <w:rPr>
          <w:b/>
          <w:bCs/>
          <w:szCs w:val="32"/>
        </w:rPr>
        <w:instrText xml:space="preserve"> HYPERLINK \l _Toc24548 </w:instrText>
      </w:r>
      <w:r>
        <w:rPr>
          <w:b/>
          <w:bCs/>
          <w:szCs w:val="32"/>
        </w:rPr>
        <w:fldChar w:fldCharType="separate"/>
      </w:r>
      <w:r>
        <w:rPr>
          <w:rFonts w:hint="eastAsia"/>
          <w:b/>
          <w:bCs/>
          <w:szCs w:val="32"/>
        </w:rPr>
        <w:t>附件二：大连理工大学采购与招标管理办公室位置示意图</w:t>
      </w:r>
      <w:r>
        <w:rPr>
          <w:b/>
          <w:bCs/>
        </w:rPr>
        <w:tab/>
      </w:r>
      <w:r>
        <w:rPr>
          <w:b/>
          <w:bCs/>
        </w:rPr>
        <w:fldChar w:fldCharType="begin"/>
      </w:r>
      <w:r>
        <w:rPr>
          <w:b/>
          <w:bCs/>
        </w:rPr>
        <w:instrText xml:space="preserve"> PAGEREF _Toc24548 </w:instrText>
      </w:r>
      <w:r>
        <w:rPr>
          <w:b/>
          <w:bCs/>
        </w:rPr>
        <w:fldChar w:fldCharType="separate"/>
      </w:r>
      <w:r>
        <w:rPr>
          <w:b/>
          <w:bCs/>
        </w:rPr>
        <w:t>11</w:t>
      </w:r>
      <w:r>
        <w:rPr>
          <w:b/>
          <w:bCs/>
        </w:rPr>
        <w:fldChar w:fldCharType="end"/>
      </w:r>
      <w:r>
        <w:rPr>
          <w:b/>
          <w:bCs/>
          <w:color w:val="000000"/>
          <w:szCs w:val="32"/>
        </w:rPr>
        <w:fldChar w:fldCharType="end"/>
      </w:r>
    </w:p>
    <w:p>
      <w:pPr>
        <w:spacing w:line="360" w:lineRule="auto"/>
        <w:ind w:left="1800"/>
        <w:jc w:val="center"/>
        <w:rPr>
          <w:color w:val="000000"/>
          <w:sz w:val="32"/>
          <w:szCs w:val="32"/>
        </w:rPr>
      </w:pPr>
      <w:r>
        <w:rPr>
          <w:color w:val="000000"/>
          <w:szCs w:val="32"/>
        </w:rPr>
        <w:fldChar w:fldCharType="end"/>
      </w:r>
    </w:p>
    <w:p>
      <w:pPr>
        <w:spacing w:line="360" w:lineRule="auto"/>
        <w:ind w:left="1800"/>
        <w:jc w:val="center"/>
        <w:rPr>
          <w:color w:val="000000"/>
          <w:sz w:val="32"/>
          <w:szCs w:val="32"/>
        </w:rPr>
      </w:pPr>
    </w:p>
    <w:p>
      <w:pPr>
        <w:spacing w:line="360" w:lineRule="auto"/>
        <w:ind w:left="1800"/>
        <w:jc w:val="center"/>
        <w:rPr>
          <w:color w:val="000000"/>
          <w:sz w:val="32"/>
          <w:szCs w:val="32"/>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spacing w:line="360" w:lineRule="auto"/>
        <w:ind w:left="1800"/>
        <w:jc w:val="center"/>
        <w:rPr>
          <w:color w:val="000000"/>
          <w:sz w:val="30"/>
          <w:szCs w:val="30"/>
        </w:rPr>
      </w:pPr>
    </w:p>
    <w:p>
      <w:pPr>
        <w:pStyle w:val="14"/>
        <w:keepNext w:val="0"/>
        <w:keepLines w:val="0"/>
        <w:widowControl/>
        <w:suppressLineNumbers w:val="0"/>
        <w:spacing w:line="15" w:lineRule="atLeast"/>
        <w:jc w:val="center"/>
        <w:rPr>
          <w:rFonts w:hint="eastAsia" w:ascii="宋体" w:hAnsi="宋体" w:eastAsia="宋体" w:cs="宋体"/>
          <w:b/>
          <w:color w:val="000000"/>
          <w:sz w:val="36"/>
          <w:szCs w:val="30"/>
          <w:lang w:val="en-US" w:eastAsia="zh-CN" w:bidi="ar-SA"/>
        </w:rPr>
      </w:pPr>
      <w:r>
        <w:rPr>
          <w:rFonts w:hint="eastAsia" w:ascii="宋体" w:hAnsi="宋体" w:eastAsia="宋体" w:cs="宋体"/>
          <w:b/>
          <w:color w:val="000000"/>
          <w:sz w:val="36"/>
          <w:szCs w:val="30"/>
          <w:lang w:val="en-US" w:eastAsia="zh-CN" w:bidi="ar-SA"/>
        </w:rPr>
        <w:t>大连理工大学600M全数字化超导核磁共振谱仪项目单一来源采购公告</w:t>
      </w:r>
    </w:p>
    <w:p>
      <w:pPr>
        <w:pStyle w:val="14"/>
        <w:keepNext w:val="0"/>
        <w:keepLines w:val="0"/>
        <w:widowControl/>
        <w:suppressLineNumbers w:val="0"/>
        <w:spacing w:line="15" w:lineRule="atLeast"/>
        <w:rPr>
          <w:sz w:val="40"/>
          <w:szCs w:val="40"/>
        </w:rPr>
      </w:pPr>
      <w:r>
        <w:rPr>
          <w:rStyle w:val="16"/>
          <w:rFonts w:hint="eastAsia" w:ascii="宋体" w:hAnsi="宋体" w:eastAsia="宋体" w:cs="宋体"/>
          <w:sz w:val="24"/>
          <w:szCs w:val="24"/>
          <w:lang w:eastAsia="zh-CN"/>
        </w:rPr>
        <w:t>一、</w:t>
      </w:r>
      <w:r>
        <w:rPr>
          <w:rStyle w:val="16"/>
          <w:rFonts w:hint="eastAsia" w:ascii="宋体" w:hAnsi="宋体" w:eastAsia="宋体" w:cs="宋体"/>
          <w:sz w:val="24"/>
          <w:szCs w:val="24"/>
        </w:rPr>
        <w:t>项目名称：</w:t>
      </w:r>
      <w:r>
        <w:rPr>
          <w:rStyle w:val="16"/>
          <w:rFonts w:hint="eastAsia" w:cs="宋体"/>
          <w:b w:val="0"/>
          <w:bCs/>
          <w:sz w:val="24"/>
          <w:szCs w:val="24"/>
          <w:lang w:val="en-US" w:eastAsia="zh-CN"/>
        </w:rPr>
        <w:t>600M全数字化超导核磁共振谱仪</w:t>
      </w:r>
    </w:p>
    <w:p>
      <w:pPr>
        <w:pStyle w:val="14"/>
        <w:keepNext w:val="0"/>
        <w:keepLines w:val="0"/>
        <w:widowControl/>
        <w:suppressLineNumbers w:val="0"/>
        <w:spacing w:line="15" w:lineRule="atLeast"/>
        <w:rPr>
          <w:b w:val="0"/>
          <w:bCs/>
          <w:sz w:val="40"/>
          <w:szCs w:val="40"/>
        </w:rPr>
      </w:pPr>
      <w:r>
        <w:rPr>
          <w:rStyle w:val="16"/>
          <w:rFonts w:hint="eastAsia" w:ascii="宋体" w:hAnsi="宋体" w:eastAsia="宋体" w:cs="宋体"/>
          <w:sz w:val="24"/>
          <w:szCs w:val="24"/>
          <w:lang w:eastAsia="zh-CN"/>
        </w:rPr>
        <w:t>二、</w:t>
      </w:r>
      <w:r>
        <w:rPr>
          <w:rStyle w:val="16"/>
          <w:rFonts w:hint="eastAsia" w:ascii="宋体" w:hAnsi="宋体" w:eastAsia="宋体" w:cs="宋体"/>
          <w:sz w:val="24"/>
          <w:szCs w:val="24"/>
        </w:rPr>
        <w:t xml:space="preserve">项目编号：DUTASD-2018038 </w:t>
      </w:r>
      <w:r>
        <w:rPr>
          <w:rStyle w:val="16"/>
          <w:rFonts w:hint="eastAsia" w:cs="宋体"/>
          <w:b w:val="0"/>
          <w:bCs/>
          <w:sz w:val="24"/>
          <w:szCs w:val="24"/>
          <w:lang w:val="en-US" w:eastAsia="zh-CN"/>
        </w:rPr>
        <w:t xml:space="preserve"> </w:t>
      </w:r>
    </w:p>
    <w:p>
      <w:pPr>
        <w:pStyle w:val="14"/>
        <w:keepNext w:val="0"/>
        <w:keepLines w:val="0"/>
        <w:widowControl/>
        <w:suppressLineNumbers w:val="0"/>
        <w:spacing w:line="15" w:lineRule="atLeast"/>
        <w:rPr>
          <w:sz w:val="40"/>
          <w:szCs w:val="40"/>
        </w:rPr>
      </w:pPr>
      <w:r>
        <w:rPr>
          <w:rStyle w:val="16"/>
          <w:rFonts w:hint="eastAsia" w:ascii="宋体" w:hAnsi="宋体" w:eastAsia="宋体" w:cs="宋体"/>
          <w:sz w:val="24"/>
          <w:szCs w:val="24"/>
          <w:lang w:eastAsia="zh-CN"/>
        </w:rPr>
        <w:t>三、</w:t>
      </w:r>
      <w:r>
        <w:rPr>
          <w:rStyle w:val="16"/>
          <w:rFonts w:hint="eastAsia" w:ascii="宋体" w:hAnsi="宋体" w:eastAsia="宋体" w:cs="宋体"/>
          <w:sz w:val="24"/>
          <w:szCs w:val="24"/>
        </w:rPr>
        <w:t>项目联系方式：</w:t>
      </w:r>
    </w:p>
    <w:p>
      <w:pPr>
        <w:pStyle w:val="14"/>
        <w:keepNext w:val="0"/>
        <w:keepLines w:val="0"/>
        <w:widowControl/>
        <w:suppressLineNumbers w:val="0"/>
        <w:spacing w:line="15" w:lineRule="atLeast"/>
        <w:rPr>
          <w:sz w:val="40"/>
          <w:szCs w:val="40"/>
        </w:rPr>
      </w:pPr>
      <w:r>
        <w:rPr>
          <w:rFonts w:hint="eastAsia" w:ascii="宋体" w:hAnsi="宋体" w:eastAsia="宋体" w:cs="宋体"/>
          <w:sz w:val="24"/>
          <w:szCs w:val="24"/>
        </w:rPr>
        <w:t>项目联系人：</w:t>
      </w:r>
      <w:r>
        <w:rPr>
          <w:rFonts w:hint="eastAsia" w:ascii="宋体" w:hAnsi="宋体" w:eastAsia="宋体" w:cs="宋体"/>
          <w:sz w:val="24"/>
          <w:szCs w:val="24"/>
          <w:lang w:eastAsia="zh-CN"/>
        </w:rPr>
        <w:t>宋亮</w:t>
      </w:r>
    </w:p>
    <w:p>
      <w:pPr>
        <w:pStyle w:val="14"/>
        <w:keepNext w:val="0"/>
        <w:keepLines w:val="0"/>
        <w:widowControl/>
        <w:suppressLineNumbers w:val="0"/>
        <w:spacing w:line="15" w:lineRule="atLeast"/>
        <w:rPr>
          <w:sz w:val="40"/>
          <w:szCs w:val="40"/>
        </w:rPr>
      </w:pPr>
      <w:r>
        <w:rPr>
          <w:rFonts w:hint="eastAsia" w:ascii="宋体" w:hAnsi="宋体" w:eastAsia="宋体" w:cs="宋体"/>
          <w:sz w:val="24"/>
          <w:szCs w:val="24"/>
        </w:rPr>
        <w:t>项目联系电话：</w:t>
      </w:r>
      <w:r>
        <w:rPr>
          <w:rFonts w:hint="eastAsia" w:ascii="宋体" w:hAnsi="宋体" w:eastAsia="宋体" w:cs="宋体"/>
          <w:sz w:val="24"/>
          <w:szCs w:val="24"/>
          <w:lang w:val="en-US" w:eastAsia="zh-CN"/>
        </w:rPr>
        <w:t>0411-39980953</w:t>
      </w:r>
    </w:p>
    <w:p>
      <w:pPr>
        <w:pStyle w:val="14"/>
        <w:keepNext w:val="0"/>
        <w:keepLines w:val="0"/>
        <w:widowControl/>
        <w:suppressLineNumbers w:val="0"/>
        <w:spacing w:line="15" w:lineRule="atLeast"/>
        <w:rPr>
          <w:sz w:val="40"/>
          <w:szCs w:val="40"/>
        </w:rPr>
      </w:pPr>
      <w:r>
        <w:rPr>
          <w:rStyle w:val="16"/>
          <w:rFonts w:hint="eastAsia" w:ascii="宋体" w:hAnsi="宋体" w:eastAsia="宋体" w:cs="宋体"/>
          <w:sz w:val="24"/>
          <w:szCs w:val="24"/>
          <w:lang w:eastAsia="zh-CN"/>
        </w:rPr>
        <w:t>四</w:t>
      </w:r>
      <w:r>
        <w:rPr>
          <w:rStyle w:val="16"/>
          <w:rFonts w:hint="eastAsia" w:ascii="宋体" w:hAnsi="宋体" w:eastAsia="宋体" w:cs="宋体"/>
          <w:sz w:val="24"/>
          <w:szCs w:val="24"/>
        </w:rPr>
        <w:t>、拟采购的货物或者服务的说明:</w:t>
      </w:r>
    </w:p>
    <w:p>
      <w:pPr>
        <w:pStyle w:val="14"/>
        <w:keepNext w:val="0"/>
        <w:keepLines w:val="0"/>
        <w:widowControl/>
        <w:suppressLineNumbers w:val="0"/>
        <w:spacing w:line="15" w:lineRule="atLeast"/>
        <w:rPr>
          <w:rFonts w:hint="eastAsia" w:ascii="宋体" w:hAnsi="宋体" w:eastAsia="宋体" w:cs="宋体"/>
          <w:sz w:val="24"/>
          <w:szCs w:val="24"/>
          <w:lang w:val="en-US" w:eastAsia="zh-CN"/>
        </w:rPr>
      </w:pPr>
      <w:r>
        <w:rPr>
          <w:rFonts w:hint="eastAsia" w:cs="宋体"/>
          <w:sz w:val="24"/>
          <w:szCs w:val="24"/>
          <w:lang w:val="en-US" w:eastAsia="zh-CN"/>
        </w:rPr>
        <w:t xml:space="preserve">    精细化工国家重点实验室</w:t>
      </w:r>
      <w:r>
        <w:rPr>
          <w:rFonts w:hint="eastAsia"/>
          <w:sz w:val="24"/>
          <w:szCs w:val="24"/>
        </w:rPr>
        <w:t>开展生物分子探针、新型光电材料、手性催化合成及微量</w:t>
      </w:r>
      <w:r>
        <w:rPr>
          <w:rFonts w:hint="eastAsia"/>
          <w:sz w:val="24"/>
          <w:szCs w:val="24"/>
          <w:lang w:val="en-US" w:eastAsia="zh-CN"/>
        </w:rPr>
        <w:t>有机</w:t>
      </w:r>
      <w:r>
        <w:rPr>
          <w:rFonts w:hint="eastAsia"/>
          <w:sz w:val="24"/>
          <w:szCs w:val="24"/>
        </w:rPr>
        <w:t>成分的定性定量分析等</w:t>
      </w:r>
      <w:r>
        <w:rPr>
          <w:rFonts w:hint="eastAsia"/>
          <w:sz w:val="24"/>
          <w:szCs w:val="24"/>
          <w:lang w:val="en-US" w:eastAsia="zh-CN"/>
        </w:rPr>
        <w:t>学科前沿研究课题。</w:t>
      </w:r>
      <w:r>
        <w:rPr>
          <w:sz w:val="24"/>
          <w:szCs w:val="24"/>
        </w:rPr>
        <w:t>拟采购一台</w:t>
      </w:r>
      <w:r>
        <w:rPr>
          <w:rFonts w:hint="eastAsia"/>
          <w:sz w:val="24"/>
          <w:szCs w:val="24"/>
          <w:lang w:val="en-US" w:eastAsia="zh-CN"/>
        </w:rPr>
        <w:t>布鲁克公司AVANCE NEO 600M全数字化超导核磁共振谱仪</w:t>
      </w:r>
      <w:r>
        <w:rPr>
          <w:rFonts w:hint="eastAsia"/>
          <w:sz w:val="24"/>
          <w:szCs w:val="24"/>
        </w:rPr>
        <w:t>设备</w:t>
      </w:r>
      <w:r>
        <w:rPr>
          <w:rFonts w:hint="eastAsia"/>
          <w:sz w:val="24"/>
          <w:szCs w:val="24"/>
          <w:lang w:val="en-US" w:eastAsia="zh-CN"/>
        </w:rPr>
        <w:t>一套</w:t>
      </w:r>
      <w:r>
        <w:rPr>
          <w:sz w:val="24"/>
          <w:szCs w:val="24"/>
        </w:rPr>
        <w:t>。</w:t>
      </w:r>
      <w:r>
        <w:rPr>
          <w:rFonts w:hint="eastAsia"/>
          <w:sz w:val="24"/>
          <w:szCs w:val="24"/>
          <w:lang w:val="en-US" w:eastAsia="zh-CN"/>
        </w:rPr>
        <w:t>要求超导磁体液氦维持时间≥ 150天，</w:t>
      </w:r>
      <w:r>
        <w:rPr>
          <w:rFonts w:hint="eastAsia" w:cs="宋体"/>
          <w:szCs w:val="21"/>
          <w:lang w:val="en-US" w:eastAsia="zh-CN"/>
        </w:rPr>
        <w:t>两个</w:t>
      </w:r>
      <w:r>
        <w:rPr>
          <w:rFonts w:hint="eastAsia" w:ascii="宋体" w:hAnsi="宋体" w:cs="宋体"/>
          <w:szCs w:val="21"/>
        </w:rPr>
        <w:t>射频通道</w:t>
      </w:r>
      <w:r>
        <w:rPr>
          <w:rFonts w:hint="eastAsia" w:cs="宋体"/>
          <w:szCs w:val="21"/>
          <w:lang w:eastAsia="zh-CN"/>
        </w:rPr>
        <w:t>，</w:t>
      </w:r>
      <w:r>
        <w:rPr>
          <w:rFonts w:hint="eastAsia"/>
          <w:sz w:val="24"/>
          <w:szCs w:val="24"/>
        </w:rPr>
        <w:t>BBFO SmartProbe宽频二合一探头</w:t>
      </w:r>
      <w:r>
        <w:rPr>
          <w:rFonts w:hint="eastAsia"/>
          <w:sz w:val="24"/>
          <w:szCs w:val="24"/>
          <w:lang w:eastAsia="zh-CN"/>
        </w:rPr>
        <w:t>，</w:t>
      </w:r>
      <w:r>
        <w:rPr>
          <w:rFonts w:hint="eastAsia"/>
          <w:sz w:val="24"/>
          <w:szCs w:val="24"/>
          <w:lang w:val="en-US" w:eastAsia="zh-CN"/>
        </w:rPr>
        <w:t>变温系统和24位自动进样器。厂家提供空压机、UPS电源、安装时所需液氮液氦氮气氦气等。</w:t>
      </w:r>
    </w:p>
    <w:p>
      <w:pPr>
        <w:pStyle w:val="14"/>
        <w:keepNext w:val="0"/>
        <w:keepLines w:val="0"/>
        <w:widowControl/>
        <w:numPr>
          <w:ilvl w:val="0"/>
          <w:numId w:val="1"/>
        </w:numPr>
        <w:suppressLineNumbers w:val="0"/>
        <w:spacing w:line="15" w:lineRule="atLeast"/>
        <w:rPr>
          <w:rFonts w:hint="eastAsia" w:cs="宋体"/>
          <w:sz w:val="24"/>
          <w:szCs w:val="24"/>
          <w:lang w:val="en-US" w:eastAsia="zh-CN"/>
        </w:rPr>
      </w:pPr>
      <w:r>
        <w:rPr>
          <w:rStyle w:val="16"/>
          <w:rFonts w:hint="eastAsia" w:ascii="宋体" w:hAnsi="宋体" w:eastAsia="宋体" w:cs="宋体"/>
          <w:sz w:val="24"/>
          <w:szCs w:val="24"/>
          <w:lang w:eastAsia="zh-CN"/>
        </w:rPr>
        <w:t>谈判</w:t>
      </w:r>
      <w:r>
        <w:rPr>
          <w:rStyle w:val="16"/>
          <w:rFonts w:hint="eastAsia" w:ascii="宋体" w:hAnsi="宋体" w:eastAsia="宋体" w:cs="宋体"/>
          <w:sz w:val="24"/>
          <w:szCs w:val="24"/>
        </w:rPr>
        <w:t>时间：</w:t>
      </w:r>
      <w:r>
        <w:rPr>
          <w:rFonts w:hint="eastAsia" w:ascii="宋体" w:hAnsi="宋体" w:eastAsia="宋体" w:cs="宋体"/>
          <w:sz w:val="24"/>
          <w:szCs w:val="24"/>
          <w:lang w:val="en-US" w:eastAsia="zh-CN"/>
        </w:rPr>
        <w:t>201</w:t>
      </w:r>
      <w:r>
        <w:rPr>
          <w:rFonts w:hint="eastAsia" w:cs="宋体"/>
          <w:sz w:val="24"/>
          <w:szCs w:val="24"/>
          <w:lang w:val="en-US" w:eastAsia="zh-CN"/>
        </w:rPr>
        <w:t>8</w:t>
      </w:r>
      <w:r>
        <w:rPr>
          <w:rFonts w:hint="eastAsia" w:ascii="宋体" w:hAnsi="宋体" w:eastAsia="宋体" w:cs="宋体"/>
          <w:sz w:val="24"/>
          <w:szCs w:val="24"/>
        </w:rPr>
        <w:t>年</w:t>
      </w:r>
      <w:r>
        <w:rPr>
          <w:rFonts w:hint="eastAsia" w:cs="宋体"/>
          <w:sz w:val="24"/>
          <w:szCs w:val="24"/>
          <w:lang w:val="en-US" w:eastAsia="zh-CN"/>
        </w:rPr>
        <w:t>10</w:t>
      </w:r>
      <w:r>
        <w:rPr>
          <w:rFonts w:hint="eastAsia" w:ascii="宋体" w:hAnsi="宋体" w:eastAsia="宋体" w:cs="宋体"/>
          <w:sz w:val="24"/>
          <w:szCs w:val="24"/>
        </w:rPr>
        <w:t>月</w:t>
      </w:r>
      <w:r>
        <w:rPr>
          <w:rFonts w:hint="eastAsia" w:cs="宋体"/>
          <w:sz w:val="24"/>
          <w:szCs w:val="24"/>
          <w:lang w:val="en-US" w:eastAsia="zh-CN"/>
        </w:rPr>
        <w:t>16</w:t>
      </w:r>
      <w:r>
        <w:rPr>
          <w:rFonts w:hint="eastAsia" w:ascii="宋体" w:hAnsi="宋体" w:eastAsia="宋体" w:cs="宋体"/>
          <w:sz w:val="24"/>
          <w:szCs w:val="24"/>
        </w:rPr>
        <w:t xml:space="preserve">日 </w:t>
      </w:r>
      <w:r>
        <w:rPr>
          <w:rFonts w:hint="eastAsia" w:cs="宋体"/>
          <w:sz w:val="24"/>
          <w:szCs w:val="24"/>
          <w:lang w:val="en-US" w:eastAsia="zh-CN"/>
        </w:rPr>
        <w:t xml:space="preserve"> </w:t>
      </w:r>
    </w:p>
    <w:p>
      <w:pPr>
        <w:pStyle w:val="14"/>
        <w:keepNext w:val="0"/>
        <w:keepLines w:val="0"/>
        <w:widowControl/>
        <w:numPr>
          <w:ilvl w:val="0"/>
          <w:numId w:val="0"/>
        </w:numPr>
        <w:suppressLineNumbers w:val="0"/>
        <w:spacing w:line="15" w:lineRule="atLeast"/>
        <w:rPr>
          <w:sz w:val="40"/>
          <w:szCs w:val="40"/>
        </w:rPr>
      </w:pPr>
      <w:r>
        <w:rPr>
          <w:rStyle w:val="16"/>
          <w:rFonts w:hint="eastAsia" w:ascii="宋体" w:hAnsi="宋体" w:eastAsia="宋体" w:cs="宋体"/>
          <w:sz w:val="24"/>
          <w:szCs w:val="24"/>
          <w:lang w:eastAsia="zh-CN"/>
        </w:rPr>
        <w:t>六</w:t>
      </w:r>
      <w:r>
        <w:rPr>
          <w:rStyle w:val="16"/>
          <w:rFonts w:hint="eastAsia" w:ascii="宋体" w:hAnsi="宋体" w:eastAsia="宋体" w:cs="宋体"/>
          <w:sz w:val="24"/>
          <w:szCs w:val="24"/>
        </w:rPr>
        <w:t>、拟定的唯一供应商名称及其地址：</w:t>
      </w:r>
    </w:p>
    <w:p>
      <w:pPr>
        <w:pStyle w:val="14"/>
        <w:keepNext w:val="0"/>
        <w:keepLines w:val="0"/>
        <w:widowControl/>
        <w:suppressLineNumbers w:val="0"/>
        <w:spacing w:line="15" w:lineRule="atLeast"/>
        <w:rPr>
          <w:rFonts w:hint="eastAsia" w:ascii="宋体" w:hAnsi="宋体" w:eastAsia="宋体" w:cs="宋体"/>
          <w:sz w:val="24"/>
          <w:szCs w:val="24"/>
        </w:rPr>
      </w:pPr>
      <w:r>
        <w:rPr>
          <w:rFonts w:hint="eastAsia" w:ascii="宋体" w:hAnsi="宋体" w:eastAsia="宋体" w:cs="宋体"/>
          <w:sz w:val="24"/>
          <w:szCs w:val="24"/>
        </w:rPr>
        <w:t>名称：布鲁克科学仪器香港有限公司</w:t>
      </w:r>
    </w:p>
    <w:p>
      <w:pPr>
        <w:pStyle w:val="14"/>
        <w:keepNext w:val="0"/>
        <w:keepLines w:val="0"/>
        <w:widowControl/>
        <w:suppressLineNumbers w:val="0"/>
        <w:spacing w:line="15" w:lineRule="atLeast"/>
        <w:rPr>
          <w:sz w:val="40"/>
          <w:szCs w:val="40"/>
        </w:rPr>
      </w:pPr>
      <w:r>
        <w:rPr>
          <w:rFonts w:hint="eastAsia" w:ascii="宋体" w:hAnsi="宋体" w:eastAsia="宋体" w:cs="宋体"/>
          <w:sz w:val="24"/>
          <w:szCs w:val="24"/>
        </w:rPr>
        <w:t>地址：</w:t>
      </w:r>
      <w:r>
        <w:rPr>
          <w:rFonts w:hint="eastAsia" w:cs="宋体"/>
          <w:sz w:val="24"/>
          <w:szCs w:val="24"/>
          <w:lang w:val="en-US" w:eastAsia="zh-CN"/>
        </w:rPr>
        <w:t>香港九龙湾常悦道九号企业广场1 期1 座6 楼608 室</w:t>
      </w:r>
    </w:p>
    <w:p>
      <w:pPr>
        <w:pStyle w:val="14"/>
        <w:keepNext w:val="0"/>
        <w:keepLines w:val="0"/>
        <w:widowControl/>
        <w:numPr>
          <w:ilvl w:val="0"/>
          <w:numId w:val="2"/>
        </w:numPr>
        <w:suppressLineNumbers w:val="0"/>
        <w:spacing w:line="15" w:lineRule="atLeast"/>
        <w:rPr>
          <w:rStyle w:val="16"/>
          <w:rFonts w:hint="eastAsia" w:ascii="宋体" w:hAnsi="宋体" w:eastAsia="宋体" w:cs="宋体"/>
          <w:sz w:val="24"/>
          <w:szCs w:val="24"/>
          <w:lang w:eastAsia="zh-CN"/>
        </w:rPr>
      </w:pPr>
      <w:r>
        <w:rPr>
          <w:rStyle w:val="16"/>
          <w:rFonts w:hint="eastAsia" w:ascii="宋体" w:hAnsi="宋体" w:eastAsia="宋体" w:cs="宋体"/>
          <w:sz w:val="24"/>
          <w:szCs w:val="24"/>
          <w:lang w:eastAsia="zh-CN"/>
        </w:rPr>
        <w:t>单一来源采购原因及相关说明</w:t>
      </w:r>
    </w:p>
    <w:p>
      <w:pPr>
        <w:pStyle w:val="14"/>
        <w:keepNext w:val="0"/>
        <w:keepLines w:val="0"/>
        <w:widowControl/>
        <w:suppressLineNumbers w:val="0"/>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精细化工国家重点实验室开展生物分子探针、新型光电材料、手性催化合成及微量成分的定性定量分析等需要通过核磁共振解析来完成。特别是含有氟、磷、氮和硅等杂原子的分子需要高灵敏度、高分辨率的核磁共振波谱技术。据调研，德国布鲁克公司600M核磁在探头灵敏度（低温）及杂原子核同时去耦、实时自动确认分子结构的CMC-ASSIST 分子结构辅助确认软件等方面独有的技术，可以和TopSpin 核磁谱仪采样软件有机结合，并且支持自动进样器模式。具备合成物质分子结构的快速确认的功能，极大地方便有机合成使用者加快有机合成进程。其他公司提供的货物或不能达到要求指标或无相应技术，无法满足使用需求。</w:t>
      </w:r>
    </w:p>
    <w:p>
      <w:pPr>
        <w:pStyle w:val="14"/>
        <w:keepNext w:val="0"/>
        <w:keepLines w:val="0"/>
        <w:widowControl/>
        <w:suppressLineNumbers w:val="0"/>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综上所述，只有布鲁克公司的600M核磁共振产品能够满足本项目技术需要，只能采用单一来源采购方式进行采购。</w:t>
      </w:r>
    </w:p>
    <w:p>
      <w:pPr>
        <w:pStyle w:val="14"/>
        <w:keepNext w:val="0"/>
        <w:keepLines w:val="0"/>
        <w:widowControl/>
        <w:suppressLineNumbers w:val="0"/>
        <w:spacing w:line="15" w:lineRule="atLeas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八、其他补充事宜</w:t>
      </w:r>
    </w:p>
    <w:p>
      <w:pPr>
        <w:spacing w:line="360" w:lineRule="auto"/>
        <w:ind w:left="1800"/>
        <w:jc w:val="center"/>
        <w:rPr>
          <w:color w:val="000000"/>
          <w:sz w:val="30"/>
          <w:szCs w:val="30"/>
        </w:rPr>
      </w:pPr>
    </w:p>
    <w:p>
      <w:pPr>
        <w:numPr>
          <w:ilvl w:val="0"/>
          <w:numId w:val="3"/>
        </w:numPr>
        <w:spacing w:line="400" w:lineRule="exact"/>
        <w:ind w:left="1797" w:hanging="1077"/>
        <w:jc w:val="center"/>
        <w:outlineLvl w:val="0"/>
        <w:rPr>
          <w:b/>
          <w:color w:val="000000"/>
          <w:sz w:val="30"/>
          <w:szCs w:val="30"/>
        </w:rPr>
        <w:sectPr>
          <w:footerReference r:id="rId7" w:type="default"/>
          <w:pgSz w:w="11906" w:h="16838"/>
          <w:pgMar w:top="1440" w:right="1800" w:bottom="1440" w:left="1800" w:header="851" w:footer="992" w:gutter="0"/>
          <w:cols w:space="720" w:num="1"/>
          <w:docGrid w:type="lines" w:linePitch="326" w:charSpace="0"/>
        </w:sectPr>
      </w:pPr>
    </w:p>
    <w:p>
      <w:pPr>
        <w:numPr>
          <w:ilvl w:val="0"/>
          <w:numId w:val="3"/>
        </w:numPr>
        <w:spacing w:line="400" w:lineRule="exact"/>
        <w:ind w:left="1797" w:hanging="1077"/>
        <w:jc w:val="center"/>
        <w:outlineLvl w:val="0"/>
        <w:rPr>
          <w:b/>
          <w:color w:val="000000"/>
          <w:sz w:val="30"/>
          <w:szCs w:val="30"/>
        </w:rPr>
      </w:pPr>
      <w:bookmarkStart w:id="0" w:name="_Toc29086"/>
      <w:r>
        <w:rPr>
          <w:rFonts w:hint="eastAsia"/>
          <w:b/>
          <w:color w:val="000000"/>
          <w:sz w:val="36"/>
          <w:szCs w:val="30"/>
        </w:rPr>
        <w:t>采购邀请函</w:t>
      </w:r>
      <w:bookmarkEnd w:id="0"/>
    </w:p>
    <w:p>
      <w:pPr>
        <w:spacing w:line="400" w:lineRule="exact"/>
        <w:ind w:left="720"/>
        <w:rPr>
          <w:b/>
          <w:color w:val="000000"/>
          <w:sz w:val="30"/>
          <w:szCs w:val="30"/>
        </w:rPr>
      </w:pPr>
    </w:p>
    <w:p>
      <w:pPr>
        <w:spacing w:line="360" w:lineRule="auto"/>
        <w:ind w:firstLine="480" w:firstLineChars="200"/>
        <w:jc w:val="both"/>
        <w:rPr>
          <w:color w:val="000000"/>
        </w:rPr>
      </w:pPr>
      <w:r>
        <w:rPr>
          <w:rFonts w:hint="eastAsia"/>
          <w:color w:val="000000"/>
        </w:rPr>
        <w:t>大连理工大学</w:t>
      </w:r>
      <w:r>
        <w:rPr>
          <w:rFonts w:hint="eastAsia"/>
          <w:color w:val="000000"/>
          <w:u w:val="single"/>
        </w:rPr>
        <w:t>600M全数字化超导核磁共振谱仪</w:t>
      </w:r>
      <w:r>
        <w:rPr>
          <w:rFonts w:hint="eastAsia"/>
          <w:color w:val="000000"/>
        </w:rPr>
        <w:t>项目（编号：DUTASD-2018038）以单一来源采购方式进行采购，诚邀贵公司前来进行商务谈判。</w:t>
      </w:r>
      <w:r>
        <w:rPr>
          <w:color w:val="000000"/>
        </w:rPr>
        <w:t>请按照单一来源采购文件的要求参加</w:t>
      </w:r>
      <w:r>
        <w:rPr>
          <w:rFonts w:hint="eastAsia"/>
          <w:color w:val="000000"/>
        </w:rPr>
        <w:t>谈判：</w:t>
      </w:r>
    </w:p>
    <w:p>
      <w:pPr>
        <w:numPr>
          <w:ilvl w:val="0"/>
          <w:numId w:val="4"/>
        </w:numPr>
        <w:spacing w:line="360" w:lineRule="auto"/>
        <w:jc w:val="both"/>
        <w:rPr>
          <w:color w:val="000000"/>
        </w:rPr>
      </w:pPr>
      <w:r>
        <w:rPr>
          <w:rFonts w:hint="eastAsia"/>
          <w:color w:val="000000"/>
        </w:rPr>
        <w:t>项目名称：600M全数字化超导核磁共振谱仪</w:t>
      </w:r>
    </w:p>
    <w:p>
      <w:pPr>
        <w:numPr>
          <w:ilvl w:val="0"/>
          <w:numId w:val="4"/>
        </w:numPr>
        <w:spacing w:line="360" w:lineRule="auto"/>
        <w:jc w:val="both"/>
        <w:rPr>
          <w:color w:val="000000"/>
        </w:rPr>
      </w:pPr>
      <w:r>
        <w:rPr>
          <w:rFonts w:hint="eastAsia"/>
          <w:color w:val="000000"/>
        </w:rPr>
        <w:t>采购编号：DUTASD-2018038</w:t>
      </w:r>
    </w:p>
    <w:p>
      <w:pPr>
        <w:numPr>
          <w:ilvl w:val="0"/>
          <w:numId w:val="4"/>
        </w:numPr>
        <w:spacing w:line="360" w:lineRule="auto"/>
        <w:jc w:val="both"/>
        <w:rPr>
          <w:color w:val="000000"/>
        </w:rPr>
      </w:pPr>
      <w:r>
        <w:rPr>
          <w:rFonts w:hint="eastAsia"/>
          <w:color w:val="000000"/>
        </w:rPr>
        <w:t>采购内容：</w:t>
      </w:r>
    </w:p>
    <w:p>
      <w:pPr>
        <w:spacing w:beforeLines="0" w:afterLines="0"/>
        <w:ind w:firstLine="480" w:firstLineChars="200"/>
        <w:jc w:val="left"/>
        <w:rPr>
          <w:color w:val="000000"/>
        </w:rPr>
      </w:pPr>
      <w:r>
        <w:rPr>
          <w:rFonts w:hint="eastAsia" w:ascii="宋体" w:hAnsi="宋体" w:eastAsia="宋体"/>
          <w:sz w:val="24"/>
          <w:lang w:val="en-US" w:eastAsia="zh-CN"/>
        </w:rPr>
        <w:t>精细化工国家重点实验室开展生物分子探针、新型光电材料、手性催化合成及微量成分的定性定量分析等需要通过核磁共振解析来完成。特别是含有氟、磷、氮和硅等杂原子的分子需要高灵敏度、高分辨率的核磁共振波谱技术。</w:t>
      </w:r>
      <w:r>
        <w:rPr>
          <w:rFonts w:hint="eastAsia" w:ascii="宋体" w:hAnsi="宋体" w:eastAsia="宋体"/>
          <w:sz w:val="24"/>
        </w:rPr>
        <w:t>因科研工作需求，拟采购</w:t>
      </w:r>
      <w:r>
        <w:rPr>
          <w:rFonts w:hint="eastAsia"/>
          <w:color w:val="000000"/>
        </w:rPr>
        <w:t>600M全数字化超导核磁共振谱仪</w:t>
      </w:r>
      <w:r>
        <w:rPr>
          <w:rFonts w:hint="eastAsia"/>
          <w:color w:val="000000"/>
          <w:lang w:val="en-US" w:eastAsia="zh-CN"/>
        </w:rPr>
        <w:t>一套</w:t>
      </w:r>
      <w:r>
        <w:rPr>
          <w:rFonts w:hint="eastAsia"/>
          <w:sz w:val="24"/>
          <w:lang w:val="en-US" w:eastAsia="zh-CN"/>
        </w:rPr>
        <w:t>，要求高</w:t>
      </w:r>
      <w:r>
        <w:rPr>
          <w:rFonts w:hint="eastAsia" w:ascii="宋体" w:hAnsi="宋体" w:eastAsia="宋体"/>
          <w:sz w:val="24"/>
          <w:lang w:val="en-US" w:eastAsia="zh-CN"/>
        </w:rPr>
        <w:t>灵敏度及杂原子核同时去耦探头</w:t>
      </w:r>
      <w:r>
        <w:rPr>
          <w:rFonts w:hint="eastAsia"/>
          <w:sz w:val="24"/>
          <w:lang w:val="en-US" w:eastAsia="zh-CN"/>
        </w:rPr>
        <w:t>。与</w:t>
      </w:r>
      <w:r>
        <w:rPr>
          <w:rFonts w:hint="eastAsia" w:ascii="宋体" w:hAnsi="宋体" w:eastAsia="宋体"/>
          <w:sz w:val="24"/>
        </w:rPr>
        <w:t>现有400MHz 液体核磁的</w:t>
      </w:r>
      <w:r>
        <w:rPr>
          <w:rFonts w:hint="eastAsia"/>
          <w:sz w:val="24"/>
          <w:lang w:val="en-US" w:eastAsia="zh-CN"/>
        </w:rPr>
        <w:t>可共用低温单元</w:t>
      </w:r>
      <w:r>
        <w:rPr>
          <w:rFonts w:hint="eastAsia" w:ascii="宋体" w:hAnsi="宋体" w:eastAsia="宋体"/>
          <w:sz w:val="24"/>
        </w:rPr>
        <w:t>，供应商负责供货、安装调试及售后。可进行多种核素的单、双共振实验：1H 同核相关，NOE 实验，以正常和反向方式进行异核相关检测。</w:t>
      </w:r>
    </w:p>
    <w:p>
      <w:pPr>
        <w:numPr>
          <w:ilvl w:val="0"/>
          <w:numId w:val="4"/>
        </w:numPr>
        <w:spacing w:line="360" w:lineRule="auto"/>
        <w:jc w:val="both"/>
        <w:rPr>
          <w:color w:val="000000"/>
        </w:rPr>
      </w:pPr>
      <w:r>
        <w:rPr>
          <w:rFonts w:hint="eastAsia"/>
          <w:color w:val="000000"/>
        </w:rPr>
        <w:t>谈判时间：</w:t>
      </w:r>
      <w:r>
        <w:rPr>
          <w:rFonts w:hint="eastAsia"/>
          <w:color w:val="000000"/>
          <w:lang w:val="en-US" w:eastAsia="zh-CN"/>
        </w:rPr>
        <w:t>2018</w:t>
      </w:r>
      <w:r>
        <w:rPr>
          <w:rFonts w:hint="eastAsia"/>
          <w:color w:val="000000"/>
        </w:rPr>
        <w:t>年</w:t>
      </w:r>
      <w:r>
        <w:rPr>
          <w:rFonts w:hint="eastAsia"/>
          <w:color w:val="000000"/>
          <w:lang w:val="en-US" w:eastAsia="zh-CN"/>
        </w:rPr>
        <w:t>10</w:t>
      </w:r>
      <w:r>
        <w:rPr>
          <w:rFonts w:hint="eastAsia"/>
          <w:color w:val="000000"/>
        </w:rPr>
        <w:t>月</w:t>
      </w:r>
      <w:r>
        <w:rPr>
          <w:rFonts w:hint="eastAsia"/>
          <w:color w:val="000000"/>
          <w:lang w:val="en-US" w:eastAsia="zh-CN"/>
        </w:rPr>
        <w:t>16</w:t>
      </w:r>
      <w:r>
        <w:rPr>
          <w:rFonts w:hint="eastAsia"/>
          <w:color w:val="000000"/>
        </w:rPr>
        <w:t xml:space="preserve">日  </w:t>
      </w:r>
      <w:r>
        <w:rPr>
          <w:rFonts w:hint="eastAsia"/>
          <w:color w:val="000000"/>
          <w:lang w:val="en-US" w:eastAsia="zh-CN"/>
        </w:rPr>
        <w:t>8:30</w:t>
      </w:r>
    </w:p>
    <w:p>
      <w:pPr>
        <w:numPr>
          <w:ilvl w:val="0"/>
          <w:numId w:val="4"/>
        </w:numPr>
        <w:spacing w:line="360" w:lineRule="auto"/>
        <w:jc w:val="both"/>
        <w:rPr>
          <w:rFonts w:hint="eastAsia"/>
          <w:color w:val="000000"/>
        </w:rPr>
      </w:pPr>
      <w:r>
        <w:rPr>
          <w:rFonts w:hint="eastAsia"/>
          <w:color w:val="000000"/>
        </w:rPr>
        <w:t>谈判地点：</w:t>
      </w:r>
      <w:r>
        <w:rPr>
          <w:rFonts w:hint="eastAsia"/>
          <w:color w:val="000000"/>
          <w:lang w:eastAsia="zh-CN"/>
        </w:rPr>
        <w:t>大连理工大学采购与招标管理办公室</w:t>
      </w:r>
      <w:r>
        <w:rPr>
          <w:rFonts w:hint="eastAsia"/>
          <w:color w:val="000000"/>
          <w:lang w:val="en-US" w:eastAsia="zh-CN"/>
        </w:rPr>
        <w:t>302室</w:t>
      </w:r>
    </w:p>
    <w:p>
      <w:pPr>
        <w:numPr>
          <w:ilvl w:val="0"/>
          <w:numId w:val="4"/>
        </w:numPr>
        <w:spacing w:line="360" w:lineRule="auto"/>
        <w:jc w:val="both"/>
        <w:rPr>
          <w:color w:val="000000"/>
        </w:rPr>
      </w:pPr>
      <w:r>
        <w:rPr>
          <w:rFonts w:hint="eastAsia"/>
          <w:color w:val="000000"/>
        </w:rPr>
        <w:t>谈判响应文件份数：正本壹份，副本伍份。</w:t>
      </w:r>
    </w:p>
    <w:p>
      <w:pPr>
        <w:numPr>
          <w:ilvl w:val="0"/>
          <w:numId w:val="4"/>
        </w:numPr>
        <w:spacing w:line="360" w:lineRule="auto"/>
        <w:jc w:val="both"/>
        <w:rPr>
          <w:color w:val="000000"/>
        </w:rPr>
      </w:pPr>
      <w:r>
        <w:rPr>
          <w:rFonts w:hint="eastAsia"/>
          <w:color w:val="000000"/>
        </w:rPr>
        <w:t>联系方式：</w:t>
      </w:r>
    </w:p>
    <w:p>
      <w:pPr>
        <w:spacing w:line="360" w:lineRule="auto"/>
        <w:ind w:left="900"/>
        <w:jc w:val="both"/>
        <w:rPr>
          <w:color w:val="000000"/>
        </w:rPr>
      </w:pPr>
      <w:r>
        <w:rPr>
          <w:rFonts w:hint="eastAsia"/>
          <w:color w:val="000000"/>
        </w:rPr>
        <w:t xml:space="preserve">   地  址：</w:t>
      </w:r>
      <w:r>
        <w:rPr>
          <w:rFonts w:hint="eastAsia" w:ascii="宋体" w:hAnsi="宋体" w:eastAsia="宋体"/>
          <w:sz w:val="24"/>
        </w:rPr>
        <w:t>辽宁省大连市甘井子区凌工路2 号</w:t>
      </w:r>
      <w:r>
        <w:rPr>
          <w:color w:val="000000"/>
        </w:rPr>
        <w:t xml:space="preserve"> </w:t>
      </w:r>
    </w:p>
    <w:p>
      <w:pPr>
        <w:spacing w:line="360" w:lineRule="auto"/>
        <w:ind w:left="900"/>
        <w:jc w:val="both"/>
        <w:rPr>
          <w:color w:val="000000"/>
        </w:rPr>
      </w:pPr>
      <w:r>
        <w:rPr>
          <w:rFonts w:hint="eastAsia"/>
          <w:color w:val="000000"/>
        </w:rPr>
        <w:t xml:space="preserve">   联系人：</w:t>
      </w:r>
      <w:r>
        <w:rPr>
          <w:rFonts w:hint="eastAsia"/>
          <w:color w:val="000000"/>
          <w:lang w:val="en-US" w:eastAsia="zh-CN"/>
        </w:rPr>
        <w:t>李亚明</w:t>
      </w:r>
    </w:p>
    <w:p>
      <w:pPr>
        <w:spacing w:line="360" w:lineRule="auto"/>
        <w:ind w:left="900"/>
        <w:jc w:val="both"/>
        <w:rPr>
          <w:rFonts w:hint="eastAsia"/>
          <w:color w:val="000000"/>
          <w:lang w:val="en-US" w:eastAsia="zh-CN"/>
        </w:rPr>
      </w:pPr>
      <w:r>
        <w:rPr>
          <w:rFonts w:hint="eastAsia"/>
          <w:color w:val="000000"/>
        </w:rPr>
        <w:t xml:space="preserve">   电  话：</w:t>
      </w:r>
      <w:r>
        <w:rPr>
          <w:rFonts w:hint="eastAsia"/>
          <w:color w:val="000000"/>
          <w:lang w:val="en-US" w:eastAsia="zh-CN"/>
        </w:rPr>
        <w:t>0411-84986295</w:t>
      </w:r>
    </w:p>
    <w:p>
      <w:pPr>
        <w:spacing w:line="360" w:lineRule="auto"/>
        <w:ind w:left="900"/>
        <w:jc w:val="both"/>
        <w:rPr>
          <w:rStyle w:val="18"/>
        </w:rPr>
      </w:pPr>
      <w:r>
        <w:rPr>
          <w:rFonts w:hint="eastAsia"/>
          <w:color w:val="000000"/>
        </w:rPr>
        <w:t xml:space="preserve">   邮  箱：</w:t>
      </w:r>
      <w:r>
        <w:rPr>
          <w:rFonts w:hint="eastAsia"/>
          <w:color w:val="000000"/>
          <w:lang w:val="en-US" w:eastAsia="zh-CN"/>
        </w:rPr>
        <w:t>ymli@dlut.edu.cn</w:t>
      </w:r>
    </w:p>
    <w:p>
      <w:pPr>
        <w:spacing w:line="360" w:lineRule="auto"/>
        <w:ind w:left="900"/>
        <w:jc w:val="both"/>
        <w:rPr>
          <w:color w:val="000000"/>
        </w:rPr>
      </w:pPr>
      <w:r>
        <w:rPr>
          <w:rFonts w:hint="eastAsia"/>
          <w:color w:val="000000"/>
        </w:rPr>
        <w:t xml:space="preserve">   传  真：</w:t>
      </w:r>
      <w:r>
        <w:rPr>
          <w:rFonts w:hint="eastAsia"/>
          <w:color w:val="000000"/>
          <w:lang w:val="en-US" w:eastAsia="zh-CN"/>
        </w:rPr>
        <w:t>0411-84986295</w:t>
      </w:r>
    </w:p>
    <w:p>
      <w:pPr>
        <w:ind w:firstLine="2400" w:firstLineChars="1000"/>
        <w:rPr>
          <w:color w:val="000000"/>
        </w:rPr>
      </w:pPr>
    </w:p>
    <w:p>
      <w:pPr>
        <w:ind w:firstLine="2400" w:firstLineChars="1000"/>
        <w:rPr>
          <w:color w:val="000000"/>
        </w:rPr>
      </w:pPr>
    </w:p>
    <w:p>
      <w:pPr>
        <w:ind w:firstLine="2400" w:firstLineChars="1000"/>
        <w:rPr>
          <w:color w:val="000000"/>
        </w:rPr>
      </w:pPr>
    </w:p>
    <w:p>
      <w:pPr>
        <w:ind w:firstLine="2400" w:firstLineChars="1000"/>
        <w:rPr>
          <w:color w:val="000000"/>
        </w:rPr>
      </w:pPr>
    </w:p>
    <w:p>
      <w:pPr>
        <w:ind w:firstLine="2400" w:firstLineChars="1000"/>
        <w:rPr>
          <w:color w:val="000000"/>
        </w:rPr>
      </w:pPr>
      <w:r>
        <w:rPr>
          <w:rFonts w:hint="eastAsia"/>
          <w:color w:val="000000"/>
        </w:rPr>
        <w:t xml:space="preserve">                     大连理工大学</w:t>
      </w:r>
    </w:p>
    <w:p>
      <w:pPr>
        <w:ind w:firstLine="2400" w:firstLineChars="1000"/>
        <w:rPr>
          <w:color w:val="000000"/>
        </w:rPr>
      </w:pPr>
      <w:r>
        <w:rPr>
          <w:rFonts w:hint="eastAsia"/>
          <w:color w:val="000000"/>
        </w:rPr>
        <w:t xml:space="preserve">                  采购与招标管理办公室</w:t>
      </w:r>
    </w:p>
    <w:p>
      <w:pPr>
        <w:numPr>
          <w:ilvl w:val="0"/>
          <w:numId w:val="3"/>
        </w:numPr>
        <w:spacing w:line="400" w:lineRule="exact"/>
        <w:ind w:left="1797" w:hanging="1077"/>
        <w:jc w:val="center"/>
        <w:outlineLvl w:val="0"/>
        <w:rPr>
          <w:b/>
          <w:sz w:val="36"/>
          <w:szCs w:val="36"/>
        </w:rPr>
      </w:pPr>
      <w:r>
        <w:rPr>
          <w:color w:val="000000"/>
        </w:rPr>
        <w:br w:type="page"/>
      </w:r>
      <w:bookmarkStart w:id="1" w:name="_Toc14666"/>
      <w:r>
        <w:rPr>
          <w:rFonts w:hint="eastAsia"/>
          <w:b/>
          <w:color w:val="000000"/>
          <w:sz w:val="36"/>
          <w:szCs w:val="30"/>
        </w:rPr>
        <w:t>供应</w:t>
      </w:r>
      <w:r>
        <w:rPr>
          <w:b/>
          <w:color w:val="000000"/>
          <w:sz w:val="36"/>
          <w:szCs w:val="30"/>
        </w:rPr>
        <w:t>商须知</w:t>
      </w:r>
      <w:bookmarkEnd w:id="1"/>
    </w:p>
    <w:p>
      <w:pPr>
        <w:snapToGrid w:val="0"/>
        <w:ind w:left="600"/>
        <w:jc w:val="center"/>
      </w:pPr>
    </w:p>
    <w:p>
      <w:pPr>
        <w:snapToGrid w:val="0"/>
        <w:spacing w:line="360" w:lineRule="auto"/>
        <w:rPr>
          <w:b/>
          <w:bCs/>
        </w:rPr>
      </w:pPr>
      <w:r>
        <w:rPr>
          <w:b/>
          <w:bCs/>
        </w:rPr>
        <w:t>1、合格供应商</w:t>
      </w:r>
    </w:p>
    <w:p>
      <w:pPr>
        <w:snapToGrid w:val="0"/>
        <w:spacing w:line="360" w:lineRule="auto"/>
        <w:ind w:firstLine="480" w:firstLineChars="200"/>
      </w:pPr>
      <w:r>
        <w:t>1.1必须具备《政府采购法》第二十二条规定的条件。</w:t>
      </w:r>
    </w:p>
    <w:p>
      <w:pPr>
        <w:snapToGrid w:val="0"/>
        <w:spacing w:line="360" w:lineRule="auto"/>
        <w:ind w:firstLine="480" w:firstLineChars="200"/>
      </w:pPr>
      <w:r>
        <w:t>1.2</w:t>
      </w:r>
      <w:r>
        <w:rPr>
          <w:rFonts w:hint="eastAsia"/>
        </w:rPr>
        <w:t>采购文件中</w:t>
      </w:r>
      <w:r>
        <w:t>规定的其它的与采购项目有关的资质条件</w:t>
      </w:r>
      <w:r>
        <w:rPr>
          <w:rFonts w:hint="eastAsia"/>
        </w:rPr>
        <w:t>。</w:t>
      </w:r>
    </w:p>
    <w:p>
      <w:pPr>
        <w:snapToGrid w:val="0"/>
        <w:spacing w:line="360" w:lineRule="auto"/>
        <w:rPr>
          <w:b/>
          <w:bCs/>
        </w:rPr>
      </w:pPr>
      <w:r>
        <w:rPr>
          <w:b/>
          <w:bCs/>
        </w:rPr>
        <w:t>2、委托</w:t>
      </w:r>
    </w:p>
    <w:p>
      <w:pPr>
        <w:snapToGrid w:val="0"/>
        <w:spacing w:line="360" w:lineRule="auto"/>
        <w:ind w:firstLine="480" w:firstLineChars="200"/>
      </w:pPr>
      <w:r>
        <w:t>2.1</w:t>
      </w:r>
      <w:r>
        <w:rPr>
          <w:rFonts w:hint="eastAsia"/>
        </w:rPr>
        <w:t>供应商的法定代表或其授权代表须参加谈判，</w:t>
      </w:r>
      <w:r>
        <w:t>如</w:t>
      </w:r>
      <w:r>
        <w:rPr>
          <w:rFonts w:hint="eastAsia"/>
        </w:rPr>
        <w:t>参加谈判代表</w:t>
      </w:r>
      <w:r>
        <w:t>不是法定代表人，须</w:t>
      </w:r>
      <w:r>
        <w:rPr>
          <w:rFonts w:hint="eastAsia"/>
        </w:rPr>
        <w:t>提供</w:t>
      </w:r>
      <w:r>
        <w:t>《法定代表人授权书》。</w:t>
      </w:r>
    </w:p>
    <w:p>
      <w:pPr>
        <w:snapToGrid w:val="0"/>
        <w:spacing w:line="360" w:lineRule="auto"/>
        <w:rPr>
          <w:b/>
          <w:bCs/>
        </w:rPr>
      </w:pPr>
      <w:r>
        <w:rPr>
          <w:b/>
          <w:bCs/>
        </w:rPr>
        <w:t>3、</w:t>
      </w:r>
      <w:r>
        <w:rPr>
          <w:rFonts w:hint="eastAsia"/>
          <w:b/>
          <w:bCs/>
        </w:rPr>
        <w:t>谈判文件要求</w:t>
      </w:r>
    </w:p>
    <w:p>
      <w:pPr>
        <w:snapToGrid w:val="0"/>
        <w:spacing w:line="360" w:lineRule="auto"/>
        <w:rPr>
          <w:bCs/>
        </w:rPr>
      </w:pPr>
      <w:r>
        <w:rPr>
          <w:rFonts w:hint="eastAsia"/>
          <w:bCs/>
        </w:rPr>
        <w:t xml:space="preserve">   3.1供应商自报产品型号和最短供货期（</w:t>
      </w:r>
      <w:r>
        <w:rPr>
          <w:rFonts w:hint="eastAsia"/>
          <w:bCs/>
          <w:szCs w:val="21"/>
        </w:rPr>
        <w:t>货物抵达大连口岸时间）</w:t>
      </w:r>
      <w:r>
        <w:rPr>
          <w:rFonts w:hint="eastAsia"/>
          <w:bCs/>
        </w:rPr>
        <w:t>。</w:t>
      </w:r>
    </w:p>
    <w:p>
      <w:pPr>
        <w:snapToGrid w:val="0"/>
        <w:spacing w:line="360" w:lineRule="auto"/>
        <w:rPr>
          <w:bCs/>
        </w:rPr>
      </w:pPr>
      <w:r>
        <w:rPr>
          <w:rFonts w:hint="eastAsia"/>
          <w:bCs/>
        </w:rPr>
        <w:t xml:space="preserve">   3.2谈判文件应尽量避免涂改和插字，若为了改正错误必须这样做时，则均应由法定代表人（或其授权代表）在修改处盖章或签名确认。</w:t>
      </w:r>
    </w:p>
    <w:p>
      <w:pPr>
        <w:snapToGrid w:val="0"/>
        <w:spacing w:line="360" w:lineRule="auto"/>
        <w:rPr>
          <w:bCs/>
        </w:rPr>
      </w:pPr>
      <w:r>
        <w:rPr>
          <w:rFonts w:hint="eastAsia"/>
          <w:bCs/>
        </w:rPr>
        <w:t xml:space="preserve">   3.3谈判文件必须装袋密封，封口处应加盖公章，不密封的谈判文件无效。封袋面上应标明采购项目名称及供应商的名称等内容。</w:t>
      </w:r>
    </w:p>
    <w:p>
      <w:pPr>
        <w:snapToGrid w:val="0"/>
        <w:spacing w:line="360" w:lineRule="auto"/>
        <w:rPr>
          <w:b/>
          <w:bCs/>
        </w:rPr>
      </w:pPr>
      <w:r>
        <w:rPr>
          <w:rFonts w:hint="eastAsia"/>
          <w:b/>
          <w:bCs/>
        </w:rPr>
        <w:t>4、谈判文件组成：</w:t>
      </w:r>
      <w:r>
        <w:rPr>
          <w:rFonts w:hint="eastAsia"/>
          <w:bCs/>
        </w:rPr>
        <w:t>（文件不提供格式文本，文件格式自拟，所提供产品不涉及条款可不提供）</w:t>
      </w:r>
    </w:p>
    <w:p>
      <w:pPr>
        <w:snapToGrid w:val="0"/>
        <w:spacing w:line="360" w:lineRule="auto"/>
        <w:ind w:firstLine="480" w:firstLineChars="200"/>
      </w:pPr>
      <w:r>
        <w:rPr>
          <w:rFonts w:hint="eastAsia"/>
        </w:rPr>
        <w:t>4</w:t>
      </w:r>
      <w:r>
        <w:t>.1报价</w:t>
      </w:r>
      <w:r>
        <w:rPr>
          <w:rFonts w:hint="eastAsia"/>
        </w:rPr>
        <w:t>文件</w:t>
      </w:r>
      <w:r>
        <w:t>：</w:t>
      </w:r>
    </w:p>
    <w:p>
      <w:pPr>
        <w:snapToGrid w:val="0"/>
        <w:spacing w:line="360" w:lineRule="auto"/>
        <w:ind w:firstLine="720" w:firstLineChars="300"/>
      </w:pPr>
      <w:r>
        <w:t>（1）</w:t>
      </w:r>
      <w:r>
        <w:rPr>
          <w:rFonts w:hint="eastAsia"/>
        </w:rPr>
        <w:t>谈判响应书；（格式如附件1）</w:t>
      </w:r>
    </w:p>
    <w:p>
      <w:pPr>
        <w:snapToGrid w:val="0"/>
        <w:spacing w:line="360" w:lineRule="auto"/>
        <w:ind w:firstLine="720" w:firstLineChars="300"/>
      </w:pPr>
      <w:r>
        <w:t>（2）</w:t>
      </w:r>
      <w:r>
        <w:rPr>
          <w:rFonts w:hint="eastAsia"/>
        </w:rPr>
        <w:t>拟提供货物的详细分项报价；</w:t>
      </w:r>
    </w:p>
    <w:p>
      <w:pPr>
        <w:snapToGrid w:val="0"/>
        <w:spacing w:line="360" w:lineRule="auto"/>
        <w:ind w:firstLine="720" w:firstLineChars="300"/>
      </w:pPr>
      <w:r>
        <w:rPr>
          <w:rFonts w:hint="eastAsia"/>
        </w:rPr>
        <w:t>（3）拟提供货物名称及规格、国别、生产厂家、工作参数、具体性能指标等；</w:t>
      </w:r>
    </w:p>
    <w:p>
      <w:pPr>
        <w:snapToGrid w:val="0"/>
        <w:spacing w:line="360" w:lineRule="auto"/>
        <w:ind w:firstLine="720" w:firstLineChars="300"/>
      </w:pPr>
      <w:r>
        <w:rPr>
          <w:rFonts w:hint="eastAsia"/>
        </w:rPr>
        <w:t>（4）详细的交货清单及交货时间；</w:t>
      </w:r>
    </w:p>
    <w:p>
      <w:pPr>
        <w:snapToGrid w:val="0"/>
        <w:spacing w:line="360" w:lineRule="auto"/>
        <w:ind w:firstLine="720" w:firstLineChars="300"/>
      </w:pPr>
      <w:r>
        <w:rPr>
          <w:rFonts w:hint="eastAsia"/>
        </w:rPr>
        <w:t>（5）拟提供货物的生产许可证（复印件）或产品代理授权证明（如原件为外文，须翻译成中文并加盖公章）；</w:t>
      </w:r>
    </w:p>
    <w:p>
      <w:pPr>
        <w:snapToGrid w:val="0"/>
        <w:spacing w:line="360" w:lineRule="auto"/>
        <w:ind w:firstLine="720" w:firstLineChars="300"/>
      </w:pPr>
      <w:r>
        <w:rPr>
          <w:rFonts w:hint="eastAsia"/>
        </w:rPr>
        <w:t>（6）售后服务承诺书以及兑现这些承诺所具备的条件和保障措施；</w:t>
      </w:r>
    </w:p>
    <w:p>
      <w:pPr>
        <w:snapToGrid w:val="0"/>
        <w:spacing w:line="360" w:lineRule="auto"/>
        <w:ind w:firstLine="720" w:firstLineChars="300"/>
      </w:pPr>
      <w:r>
        <w:rPr>
          <w:rFonts w:hint="eastAsia"/>
        </w:rPr>
        <w:t>（7）生产、制造、安装、验收标准；</w:t>
      </w:r>
    </w:p>
    <w:p>
      <w:pPr>
        <w:snapToGrid w:val="0"/>
        <w:spacing w:line="360" w:lineRule="auto"/>
        <w:ind w:firstLine="720" w:firstLineChars="300"/>
      </w:pPr>
      <w:r>
        <w:rPr>
          <w:rFonts w:hint="eastAsia"/>
        </w:rPr>
        <w:t>（8）供应商能够给予采购人的其他优惠条件。</w:t>
      </w:r>
    </w:p>
    <w:p>
      <w:pPr>
        <w:snapToGrid w:val="0"/>
        <w:spacing w:line="360" w:lineRule="auto"/>
        <w:ind w:firstLine="480" w:firstLineChars="200"/>
      </w:pPr>
      <w:r>
        <w:rPr>
          <w:rFonts w:hint="eastAsia"/>
        </w:rPr>
        <w:t>4</w:t>
      </w:r>
      <w:r>
        <w:t>.2资格证明文件包括：</w:t>
      </w:r>
    </w:p>
    <w:p>
      <w:pPr>
        <w:snapToGrid w:val="0"/>
        <w:spacing w:line="360" w:lineRule="auto"/>
        <w:ind w:firstLine="480" w:firstLineChars="200"/>
      </w:pPr>
      <w:r>
        <w:rPr>
          <w:rFonts w:hint="eastAsia"/>
        </w:rPr>
        <w:t>（1）营业执照（复印件）；</w:t>
      </w:r>
    </w:p>
    <w:p>
      <w:pPr>
        <w:snapToGrid w:val="0"/>
        <w:spacing w:line="360" w:lineRule="auto"/>
        <w:ind w:firstLine="480" w:firstLineChars="200"/>
      </w:pPr>
      <w:r>
        <w:rPr>
          <w:rFonts w:hint="eastAsia"/>
        </w:rPr>
        <w:t>（2）法人资格证明或</w:t>
      </w:r>
      <w:r>
        <w:t>法定代表人授权书</w:t>
      </w:r>
      <w:r>
        <w:rPr>
          <w:rFonts w:hint="eastAsia"/>
        </w:rPr>
        <w:t>（法人签字并加盖公章）；</w:t>
      </w:r>
    </w:p>
    <w:p>
      <w:pPr>
        <w:snapToGrid w:val="0"/>
        <w:spacing w:line="360" w:lineRule="auto"/>
        <w:ind w:firstLine="480" w:firstLineChars="200"/>
      </w:pPr>
      <w:r>
        <w:rPr>
          <w:rFonts w:hint="eastAsia"/>
        </w:rPr>
        <w:t>（3）税务登记证明（复印件）；</w:t>
      </w:r>
    </w:p>
    <w:p>
      <w:pPr>
        <w:snapToGrid w:val="0"/>
        <w:spacing w:line="360" w:lineRule="auto"/>
        <w:ind w:firstLine="480" w:firstLineChars="200"/>
      </w:pPr>
      <w:r>
        <w:rPr>
          <w:rFonts w:hint="eastAsia"/>
        </w:rPr>
        <w:t>（4）法定代表人和授权代表的身份证（复印件）；</w:t>
      </w:r>
    </w:p>
    <w:p>
      <w:pPr>
        <w:snapToGrid w:val="0"/>
        <w:spacing w:line="360" w:lineRule="auto"/>
        <w:ind w:firstLine="480" w:firstLineChars="200"/>
      </w:pPr>
      <w:r>
        <w:rPr>
          <w:rFonts w:hint="eastAsia"/>
        </w:rPr>
        <w:t>（5）拟供应货物（技术）的鉴定证书（复印件）；</w:t>
      </w:r>
    </w:p>
    <w:p>
      <w:pPr>
        <w:snapToGrid w:val="0"/>
        <w:spacing w:line="360" w:lineRule="auto"/>
        <w:ind w:firstLine="480" w:firstLineChars="200"/>
      </w:pPr>
      <w:r>
        <w:rPr>
          <w:rFonts w:hint="eastAsia"/>
        </w:rPr>
        <w:t>（6）拟供应货物（技术）获优、奖等荣誉证书（复印件）；</w:t>
      </w:r>
    </w:p>
    <w:p>
      <w:pPr>
        <w:snapToGrid w:val="0"/>
        <w:spacing w:line="360" w:lineRule="auto"/>
        <w:ind w:firstLine="480" w:firstLineChars="200"/>
      </w:pPr>
      <w:r>
        <w:rPr>
          <w:rFonts w:hint="eastAsia"/>
        </w:rPr>
        <w:t>（7）拟供应货物（技术）产品代理授权证明文件（如原件为外文，须翻译成中文并加盖公章）；</w:t>
      </w:r>
    </w:p>
    <w:p>
      <w:pPr>
        <w:snapToGrid w:val="0"/>
        <w:spacing w:line="360" w:lineRule="auto"/>
        <w:ind w:firstLine="480" w:firstLineChars="200"/>
      </w:pPr>
      <w:r>
        <w:rPr>
          <w:rFonts w:hint="eastAsia"/>
        </w:rPr>
        <w:t>（8）供应商近三年销售相关产品业绩证明文件；</w:t>
      </w:r>
    </w:p>
    <w:p>
      <w:pPr>
        <w:snapToGrid w:val="0"/>
        <w:spacing w:line="360" w:lineRule="auto"/>
        <w:ind w:firstLine="480" w:firstLineChars="200"/>
      </w:pPr>
      <w:r>
        <w:rPr>
          <w:rFonts w:hint="eastAsia"/>
        </w:rPr>
        <w:t>（9）供应商向税务部门申报的上年末资产负债表及近三年利润表；</w:t>
      </w:r>
    </w:p>
    <w:p>
      <w:pPr>
        <w:snapToGrid w:val="0"/>
        <w:spacing w:line="360" w:lineRule="auto"/>
        <w:ind w:firstLine="480" w:firstLineChars="200"/>
      </w:pPr>
      <w:r>
        <w:rPr>
          <w:rFonts w:hint="eastAsia"/>
        </w:rPr>
        <w:t>（10）供应商认为有必要的其他证明文件；</w:t>
      </w:r>
    </w:p>
    <w:p>
      <w:pPr>
        <w:snapToGrid w:val="0"/>
        <w:spacing w:line="360" w:lineRule="auto"/>
        <w:rPr>
          <w:b/>
          <w:bCs/>
        </w:rPr>
      </w:pPr>
      <w:r>
        <w:rPr>
          <w:rFonts w:hint="eastAsia"/>
          <w:b/>
          <w:bCs/>
        </w:rPr>
        <w:t>5</w:t>
      </w:r>
      <w:r>
        <w:rPr>
          <w:b/>
          <w:bCs/>
        </w:rPr>
        <w:t>、报价</w:t>
      </w:r>
    </w:p>
    <w:p>
      <w:pPr>
        <w:snapToGrid w:val="0"/>
        <w:spacing w:line="360" w:lineRule="auto"/>
        <w:ind w:firstLine="480" w:firstLineChars="200"/>
      </w:pPr>
      <w:r>
        <w:rPr>
          <w:rFonts w:hint="eastAsia"/>
        </w:rPr>
        <w:t>5</w:t>
      </w:r>
      <w:r>
        <w:t>.1</w:t>
      </w:r>
      <w:r>
        <w:rPr>
          <w:rFonts w:hint="eastAsia"/>
        </w:rPr>
        <w:t>如投标人所投进口货物属于免税范围内，投标报价应为货物的到岸价格（CIP大连），进口免税事宜及费用由校方指定外贸代理公司办理。</w:t>
      </w:r>
    </w:p>
    <w:p>
      <w:pPr>
        <w:snapToGrid w:val="0"/>
        <w:spacing w:line="360" w:lineRule="auto"/>
        <w:ind w:firstLine="480" w:firstLineChars="200"/>
      </w:pPr>
      <w:r>
        <w:rPr>
          <w:rFonts w:hint="eastAsia"/>
        </w:rPr>
        <w:t>5.2如投标人所投进口货物不属于免税范围内，投标报价应包含增值税及关税，其他内容同5.1条。</w:t>
      </w:r>
    </w:p>
    <w:p>
      <w:pPr>
        <w:snapToGrid w:val="0"/>
        <w:spacing w:line="360" w:lineRule="auto"/>
        <w:ind w:firstLine="480" w:firstLineChars="200"/>
      </w:pPr>
      <w:r>
        <w:rPr>
          <w:rFonts w:hint="eastAsia"/>
        </w:rPr>
        <w:t>5.3未经考验的新产品、试制品不能参加商务谈判。</w:t>
      </w:r>
    </w:p>
    <w:p>
      <w:pPr>
        <w:snapToGrid w:val="0"/>
        <w:spacing w:line="360" w:lineRule="auto"/>
        <w:rPr>
          <w:b/>
          <w:bCs/>
        </w:rPr>
      </w:pPr>
      <w:r>
        <w:rPr>
          <w:rFonts w:hint="eastAsia"/>
          <w:b/>
          <w:bCs/>
        </w:rPr>
        <w:t>6、付款方式：</w:t>
      </w:r>
    </w:p>
    <w:p>
      <w:pPr>
        <w:snapToGrid w:val="0"/>
        <w:spacing w:line="360" w:lineRule="auto"/>
        <w:rPr>
          <w:bCs/>
        </w:rPr>
      </w:pPr>
      <w:r>
        <w:rPr>
          <w:rFonts w:hint="eastAsia"/>
          <w:b/>
          <w:bCs/>
        </w:rPr>
        <w:t xml:space="preserve">    </w:t>
      </w:r>
      <w:r>
        <w:rPr>
          <w:rFonts w:hint="eastAsia"/>
          <w:bCs/>
        </w:rPr>
        <w:t>100%信用证（90%，10%）。</w:t>
      </w:r>
    </w:p>
    <w:p>
      <w:pPr>
        <w:snapToGrid w:val="0"/>
        <w:spacing w:line="360" w:lineRule="auto"/>
        <w:rPr>
          <w:b/>
          <w:bCs/>
        </w:rPr>
      </w:pPr>
      <w:r>
        <w:rPr>
          <w:rFonts w:hint="eastAsia"/>
          <w:b/>
          <w:bCs/>
        </w:rPr>
        <w:t>7、质保期：</w:t>
      </w:r>
    </w:p>
    <w:p>
      <w:pPr>
        <w:snapToGrid w:val="0"/>
        <w:spacing w:line="360" w:lineRule="auto"/>
        <w:rPr>
          <w:bCs/>
        </w:rPr>
      </w:pPr>
      <w:r>
        <w:rPr>
          <w:rFonts w:hint="eastAsia"/>
          <w:b/>
          <w:bCs/>
        </w:rPr>
        <w:t xml:space="preserve"> </w:t>
      </w:r>
      <w:r>
        <w:rPr>
          <w:rFonts w:hint="eastAsia"/>
          <w:bCs/>
        </w:rPr>
        <w:t xml:space="preserve">   投标人自报质保期，自货到采购指定地点安装、调试、验收合格之日起不得少于1年。</w:t>
      </w:r>
    </w:p>
    <w:p>
      <w:pPr>
        <w:snapToGrid w:val="0"/>
        <w:spacing w:line="360" w:lineRule="auto"/>
        <w:rPr>
          <w:b/>
          <w:bCs/>
        </w:rPr>
      </w:pPr>
      <w:r>
        <w:rPr>
          <w:rFonts w:hint="eastAsia"/>
          <w:b/>
          <w:bCs/>
        </w:rPr>
        <w:t>7、谈判文件有效期：</w:t>
      </w:r>
    </w:p>
    <w:p>
      <w:pPr>
        <w:snapToGrid w:val="0"/>
        <w:spacing w:line="360" w:lineRule="auto"/>
        <w:rPr>
          <w:bCs/>
        </w:rPr>
      </w:pPr>
      <w:r>
        <w:rPr>
          <w:rFonts w:hint="eastAsia"/>
          <w:bCs/>
        </w:rPr>
        <w:t xml:space="preserve">    谈判响应文件及有关承诺文件有效期应为谈判截止日期后90天。</w:t>
      </w:r>
    </w:p>
    <w:p>
      <w:pPr>
        <w:snapToGrid w:val="0"/>
        <w:spacing w:line="360" w:lineRule="auto"/>
        <w:rPr>
          <w:b/>
        </w:rPr>
      </w:pPr>
      <w:r>
        <w:rPr>
          <w:rFonts w:hint="eastAsia"/>
          <w:b/>
        </w:rPr>
        <w:t>8</w:t>
      </w:r>
      <w:r>
        <w:rPr>
          <w:b/>
        </w:rPr>
        <w:t>、成交条件</w:t>
      </w:r>
    </w:p>
    <w:p>
      <w:pPr>
        <w:snapToGrid w:val="0"/>
        <w:spacing w:line="360" w:lineRule="auto"/>
        <w:ind w:firstLine="432" w:firstLineChars="180"/>
      </w:pPr>
      <w:r>
        <w:rPr>
          <w:rFonts w:hint="eastAsia"/>
        </w:rPr>
        <w:t>8</w:t>
      </w:r>
      <w:r>
        <w:t>.1</w:t>
      </w:r>
      <w:r>
        <w:rPr>
          <w:rFonts w:hint="eastAsia"/>
        </w:rPr>
        <w:t>谈判响应</w:t>
      </w:r>
      <w:r>
        <w:t>文件符合</w:t>
      </w:r>
      <w:r>
        <w:rPr>
          <w:rFonts w:hint="eastAsia"/>
        </w:rPr>
        <w:t>谈判</w:t>
      </w:r>
      <w:r>
        <w:t>文件的要求</w:t>
      </w:r>
      <w:r>
        <w:rPr>
          <w:rFonts w:hint="eastAsia"/>
        </w:rPr>
        <w:t>；</w:t>
      </w:r>
    </w:p>
    <w:p>
      <w:pPr>
        <w:snapToGrid w:val="0"/>
        <w:spacing w:line="360" w:lineRule="auto"/>
        <w:ind w:firstLine="432" w:firstLineChars="180"/>
      </w:pPr>
      <w:r>
        <w:rPr>
          <w:rFonts w:hint="eastAsia"/>
        </w:rPr>
        <w:t>8</w:t>
      </w:r>
      <w:r>
        <w:t>.2</w:t>
      </w:r>
      <w:r>
        <w:rPr>
          <w:rFonts w:hint="eastAsia"/>
        </w:rPr>
        <w:t>拟供货产品满足采购人要求；</w:t>
      </w:r>
    </w:p>
    <w:p>
      <w:pPr>
        <w:snapToGrid w:val="0"/>
        <w:spacing w:line="360" w:lineRule="auto"/>
        <w:ind w:firstLine="432" w:firstLineChars="180"/>
      </w:pPr>
      <w:r>
        <w:rPr>
          <w:rFonts w:hint="eastAsia"/>
        </w:rPr>
        <w:t>8</w:t>
      </w:r>
      <w:r>
        <w:t>.3能提供</w:t>
      </w:r>
      <w:r>
        <w:rPr>
          <w:rFonts w:hint="eastAsia"/>
        </w:rPr>
        <w:t>良好的售后及技术服务；</w:t>
      </w:r>
    </w:p>
    <w:p>
      <w:pPr>
        <w:snapToGrid w:val="0"/>
        <w:spacing w:line="360" w:lineRule="auto"/>
        <w:ind w:firstLine="432" w:firstLineChars="180"/>
      </w:pPr>
      <w:r>
        <w:rPr>
          <w:rFonts w:hint="eastAsia"/>
        </w:rPr>
        <w:t>8</w:t>
      </w:r>
      <w:r>
        <w:t>.4具有良好的商业信誉</w:t>
      </w:r>
      <w:r>
        <w:rPr>
          <w:rFonts w:hint="eastAsia"/>
        </w:rPr>
        <w:t>；</w:t>
      </w:r>
    </w:p>
    <w:p>
      <w:pPr>
        <w:snapToGrid w:val="0"/>
        <w:spacing w:line="360" w:lineRule="auto"/>
        <w:ind w:firstLine="432" w:firstLineChars="180"/>
      </w:pPr>
      <w:r>
        <w:rPr>
          <w:rFonts w:hint="eastAsia"/>
        </w:rPr>
        <w:t>8</w:t>
      </w:r>
      <w:r>
        <w:t>.5报价合理。</w:t>
      </w:r>
    </w:p>
    <w:p>
      <w:pPr>
        <w:snapToGrid w:val="0"/>
        <w:spacing w:line="360" w:lineRule="auto"/>
        <w:rPr>
          <w:b/>
        </w:rPr>
      </w:pPr>
      <w:r>
        <w:rPr>
          <w:rFonts w:hint="eastAsia"/>
          <w:b/>
        </w:rPr>
        <w:t>9</w:t>
      </w:r>
      <w:r>
        <w:rPr>
          <w:b/>
        </w:rPr>
        <w:t>、合同签</w:t>
      </w:r>
      <w:r>
        <w:rPr>
          <w:rFonts w:hint="eastAsia"/>
          <w:b/>
        </w:rPr>
        <w:t>订</w:t>
      </w:r>
    </w:p>
    <w:p>
      <w:pPr>
        <w:snapToGrid w:val="0"/>
        <w:spacing w:line="360" w:lineRule="auto"/>
        <w:ind w:firstLine="465"/>
      </w:pPr>
      <w:r>
        <w:rPr>
          <w:rFonts w:hint="eastAsia"/>
        </w:rPr>
        <w:t>成交供应商须凭《成交通知书》与校方、代理方签订三方协议。</w:t>
      </w:r>
    </w:p>
    <w:p>
      <w:pPr>
        <w:snapToGrid w:val="0"/>
        <w:spacing w:line="360" w:lineRule="auto"/>
        <w:ind w:firstLine="465"/>
      </w:pPr>
      <w:r>
        <w:rPr>
          <w:rFonts w:hint="eastAsia"/>
        </w:rPr>
        <w:t xml:space="preserve">联系人：大连理工大学实验室与设备管理处李蕾老师    </w:t>
      </w:r>
    </w:p>
    <w:p>
      <w:pPr>
        <w:snapToGrid w:val="0"/>
        <w:spacing w:line="360" w:lineRule="auto"/>
        <w:ind w:firstLine="465"/>
      </w:pPr>
      <w:r>
        <w:rPr>
          <w:rFonts w:hint="eastAsia"/>
        </w:rPr>
        <w:t>电话：0411-84708687</w:t>
      </w:r>
    </w:p>
    <w:p>
      <w:pPr>
        <w:numPr>
          <w:ilvl w:val="0"/>
          <w:numId w:val="3"/>
        </w:numPr>
        <w:spacing w:line="400" w:lineRule="exact"/>
        <w:ind w:left="1797" w:hanging="1077"/>
        <w:jc w:val="center"/>
        <w:outlineLvl w:val="0"/>
      </w:pPr>
      <w:r>
        <w:rPr>
          <w:b/>
          <w:color w:val="000000"/>
          <w:sz w:val="30"/>
          <w:szCs w:val="30"/>
        </w:rPr>
        <w:br w:type="page"/>
      </w:r>
      <w:bookmarkStart w:id="2" w:name="_Toc3202"/>
      <w:r>
        <w:rPr>
          <w:rFonts w:hint="eastAsia"/>
          <w:b/>
          <w:color w:val="000000"/>
          <w:sz w:val="36"/>
          <w:szCs w:val="30"/>
        </w:rPr>
        <w:t>货物清单及技术要求</w:t>
      </w:r>
      <w:bookmarkEnd w:id="2"/>
    </w:p>
    <w:p>
      <w:pPr>
        <w:spacing w:line="440" w:lineRule="exact"/>
        <w:rPr>
          <w:color w:val="000000"/>
        </w:rPr>
      </w:pP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一、项目概述：</w:t>
      </w:r>
    </w:p>
    <w:p>
      <w:pPr>
        <w:spacing w:beforeLines="0" w:afterLines="0" w:line="360" w:lineRule="auto"/>
        <w:ind w:firstLine="480" w:firstLineChars="200"/>
        <w:jc w:val="left"/>
        <w:rPr>
          <w:rFonts w:hint="eastAsia" w:ascii="宋体" w:hAnsi="宋体" w:eastAsia="宋体"/>
          <w:sz w:val="24"/>
          <w:lang w:val="en-US"/>
        </w:rPr>
      </w:pPr>
      <w:r>
        <w:rPr>
          <w:rFonts w:hint="eastAsia" w:ascii="宋体" w:hAnsi="宋体" w:eastAsia="宋体"/>
          <w:sz w:val="24"/>
        </w:rPr>
        <w:t>精细化工国家重点实验室开展生物分子探针、新型光电材料、手性催化合成及微量成分的定性定量分析等需要通过核磁共振解析来完成。特别是含有氟、磷、氮和硅等杂原子的分子需要高灵敏度、高分辨率的核磁共振波谱技术。拟采购</w:t>
      </w:r>
      <w:r>
        <w:rPr>
          <w:rFonts w:hint="eastAsia"/>
          <w:sz w:val="24"/>
          <w:lang w:val="en-US" w:eastAsia="zh-CN"/>
        </w:rPr>
        <w:t>600</w:t>
      </w:r>
      <w:r>
        <w:rPr>
          <w:rFonts w:hint="eastAsia" w:ascii="宋体" w:hAnsi="宋体" w:eastAsia="宋体"/>
          <w:sz w:val="24"/>
        </w:rPr>
        <w:t>兆核磁共振波谱仪，主要用于可溶性有机物、无机物、聚合物分子结构和相互作用研究；物质的核磁特性研究。可进行多种核素的单、双共振实验：1H 同核相关，NOE 实验，以正常和反向方式进行异核相关检测。</w:t>
      </w:r>
      <w:r>
        <w:rPr>
          <w:rFonts w:hint="eastAsia"/>
          <w:sz w:val="24"/>
          <w:lang w:val="en-US" w:eastAsia="zh-CN"/>
        </w:rPr>
        <w:t>同时</w:t>
      </w:r>
      <w:r>
        <w:rPr>
          <w:rFonts w:hint="eastAsia" w:ascii="宋体" w:hAnsi="宋体" w:eastAsia="宋体"/>
          <w:sz w:val="24"/>
        </w:rPr>
        <w:t>满足有机化学、生物化学、药物化学等方面的结构分析和性能研究，</w:t>
      </w:r>
      <w:r>
        <w:rPr>
          <w:rFonts w:hint="eastAsia"/>
          <w:sz w:val="24"/>
          <w:lang w:val="en-US" w:eastAsia="zh-CN"/>
        </w:rPr>
        <w:t>对</w:t>
      </w:r>
      <w:r>
        <w:rPr>
          <w:rFonts w:hint="eastAsia" w:ascii="宋体" w:hAnsi="宋体" w:eastAsia="宋体"/>
          <w:sz w:val="24"/>
        </w:rPr>
        <w:t>蛋白质、多糖等物质的分子结构和分子间相互作用研究。</w:t>
      </w:r>
    </w:p>
    <w:p>
      <w:pPr>
        <w:keepNext w:val="0"/>
        <w:keepLines w:val="0"/>
        <w:widowControl w:val="0"/>
        <w:numPr>
          <w:ilvl w:val="0"/>
          <w:numId w:val="5"/>
        </w:numPr>
        <w:suppressLineNumbers w:val="0"/>
        <w:spacing w:before="0" w:beforeAutospacing="0" w:after="0" w:afterAutospacing="0" w:line="440" w:lineRule="exact"/>
        <w:ind w:left="0" w:right="0" w:firstLine="480"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项目基本技术需求</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600M液体核磁指标</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1.1超导磁体</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1.1.1具有低液氦与液氮消耗、高稳定性、高均匀性、抗干扰超屏蔽超导磁体或自屏蔽磁体，低温匀场线圈：≥9组，室温匀场线圈：≥36组，磁场漂移：≤ 6 Hz／小时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1.1.2液氦维持时间：≥ 150天</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1.1.3 液氦消耗速率：≤ 16ml／小时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1.1.4</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液氮维持时间 ≥18天</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1.1.5 5高斯强度处横向距离：＜ 0.7 米</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1.1.6有液氦液面自动监视和最小液面自动报警装置：</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1.2射频发射系统</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1.2.1射频通道数：2个</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1.2.2 各通道具有的功能：各通道有独立的观测、去偶、信号接收、模数转换功能，可实现双通道并行采样</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1.2.3双通道频率发生器数字频率合成，每个通道合成频率范围  5-1280 MHz；</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1.2.4频率分辨率：≤0.005Hz</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1.2.5相位分辨率：≤0.006度</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1.2.6双功放系统</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1.2.7质子最大输出功率：≥100W</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1.2.8多核最大输出功率：≥500W</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1.2.9频率,相位,幅度的设置时间：≤ 12.5纳秒</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1.2.10幅度控制≥90dB</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1.3接收及采样</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1.3.1最大谱宽：≥7.5 MHz</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1.3.2接收中频≥1.852 GHz</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1.3.3 每个通道独立的高速ADC，采样速率≥240 兆次/秒</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1.3.4 6KHz谱宽有效动态范围〉23Bit</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1.4氘数字锁场及梯度匀场系统</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1.4.1自动／手动匀场系统</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1.4.2精确的氘梯度自动匀场</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1.4.3 支持多溶剂峰（如吡啶）自动锁场</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1.4.4 Z方向射频脉冲梯度场</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梯度场最大电流：≥10A</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1.5高精度变温控制单元</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1.5.1控温范围：-150℃―+600℃ (低温实验可以另配低温附件)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1.5.2精度＜±0.1℃</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1.5.3 利用核磁共振热电偶功能，准确测量并自动控制样品温度</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1.6探头</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 1H/19F-（15N-31P）5mm Z梯度场多核二合一探头</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1.6.1.1检测核：1H和19F, 共振频率在15N-31P之间的所有核</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1.6.1.2 1H分辨率（旋转）≤ 0.6 Hz (1％ CHCl3)</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1.6.1.3 1H 线型 (旋转) ≤ 6/12 (1% CHCL3)</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1.6.1.4 13C分辨率 (旋转)≤ 0.2 Hz （ASTM）</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1.6.1.5 13C 线型（旋转）≤ 3/5Hz （ASTM）</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1.6.1.6灵敏度</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*1H灵敏度≥ 900:1(0.1％ EB)</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13C 灵敏度≥ 330:1(ASTM)</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31P灵敏度≥ 250:1(TPP)</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15N灵敏度≥ 45:1 (90% formamide)</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19F灵敏度≥ 950:1 (90% TFT)</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1.6.1.7 90度脉冲宽度</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 xml:space="preserve">1H ≤ 10μs (0.1% EB sample) 19F ≤ 12μs (TFT sample) </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 xml:space="preserve">13C ≤ 12μs (ASTM sample) 31P ≤ 12μs (TPP sample) </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15N ≤ 18μs (90% formamide sample)</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1.6.1.8加Z-方向梯度场线圈≥50高斯/cm</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1.6.1.9探头变温范围: -150℃— +150℃ (低温实验可另配低温附件)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1.6.1.10探头全自动调谐和匹配附件：必须配备能调所有观测核的全自动调谐和匹配附件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1.6.1.11探头具备观测1H去偶后的19F图谱功能</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1.7 24位自动进样器</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2. 满足有机化学、生物化学、药物化学等方面的结构分析和性能研究，可用于可溶性有机物、蛋白质、多糖等物质的分子结构和分子间相互作用研究；可进行氢、碳、氮的多共振实验。</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3.工作站及打印机</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3.1</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PC工作站（计算机工作站配置应以安装当月的主流配置为准）</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CPU：intel至强四核高端处理器</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内存：16GB</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硬盘：≥ 2 TB</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独立显卡：1G</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显示器：≥24英寸宽屏液晶彩色显示器</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网卡、DVD刻录机</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3.2</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运行平台： Windows10（64位）系统</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3.3</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激光打印机一台</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4</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NMR软件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4.1</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快速多维采样处理软件许可证一个</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4.2</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在线服务软件：包括在线使用帮助、NMR技术指导、实验手册等</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4.3</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脉冲程序模拟软件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4.4</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核磁数据处理软件许可证一个</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 xml:space="preserve">4.5    </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实验数据（原始数据及分析结果）可存为通用格式，能被其它NMR软件读取，并   能导入Microsoft Office 软件。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5附件、零配件及消耗品(包括专用工具)</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5.1</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随机必备的标准附件专用工具</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5.2</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标准样品 1套</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5.3</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超导磁体用液氦真空输液管1个</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 xml:space="preserve">5.4 </w:t>
      </w:r>
      <w:r>
        <w:rPr>
          <w:rFonts w:hint="eastAsia" w:ascii="宋体" w:hAnsi="宋体" w:eastAsia="宋体" w:cs="宋体"/>
          <w:b/>
          <w:bCs w:val="0"/>
          <w:kern w:val="2"/>
          <w:sz w:val="24"/>
          <w:szCs w:val="24"/>
          <w:lang w:val="en-US" w:eastAsia="zh-CN" w:bidi="ar"/>
        </w:rPr>
        <w:tab/>
      </w:r>
      <w:r>
        <w:rPr>
          <w:rFonts w:hint="eastAsia" w:ascii="宋体" w:hAnsi="宋体" w:eastAsia="宋体" w:cs="宋体"/>
          <w:b/>
          <w:bCs w:val="0"/>
          <w:kern w:val="2"/>
          <w:sz w:val="24"/>
          <w:szCs w:val="24"/>
          <w:lang w:val="en-US" w:eastAsia="zh-CN" w:bidi="ar"/>
        </w:rPr>
        <w:t>包含24位自动进样器及相应位数的核磁转子</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5.5        低温附件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6技术文件与国内提供配套附件：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6.1技术资料：培训教材，操作规程（说明书、光盘）</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6.2国内提供附件：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6.2.1仪器安装时，提供所需正常状态下的液氦，液氮，氦气，氮气。</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6.2.2山特UPS电源，6KVA,1小时</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6.2.3螺杆式空压机，带过滤器和、储气罐和干燥器1套</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7技术服务</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7.1设备安装、调试</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7.2设备安装：设备到货后，卖方按照用户通知的日期选派经验丰富的专家负责安装，调试；</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8技术支持及售后服务</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8.1合同签定一个月内投标方应提供设备安装、调试等必备的技术文件，以便买方能提前作好设备安装的准备工作。</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8.2技术培训：仪器安装时进行2天的现场培训，内容包括仪器的技术原理、操作、数据处理、基本维护等；应用工程师现场培训一周。</w:t>
      </w:r>
      <w:r>
        <w:rPr>
          <w:rFonts w:hint="eastAsia" w:cs="宋体"/>
          <w:b/>
          <w:bCs w:val="0"/>
          <w:kern w:val="2"/>
          <w:sz w:val="24"/>
          <w:szCs w:val="24"/>
          <w:lang w:val="en-US" w:eastAsia="zh-CN" w:bidi="ar"/>
        </w:rPr>
        <w:t>NMR高级培训两周。</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9保修期及维修</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9.1保修期：主机和部件保修1年。</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9.2卖方在中国大陆应设有维修站。需提供负责售后服务的部门或单位的名称及联系方法以及维修人员的姓名和联系电话。</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10交货</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10.1运输方式：空运</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10.2交货时间：合同生效后8个月内交货</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eastAsiaTheme="minorEastAsia"/>
          <w:sz w:val="22"/>
          <w:szCs w:val="22"/>
        </w:rPr>
      </w:pPr>
      <w:r>
        <w:rPr>
          <w:rFonts w:eastAsiaTheme="minorEastAsia"/>
          <w:sz w:val="22"/>
          <w:szCs w:val="22"/>
        </w:rPr>
        <w:t>10.3交货地点：</w:t>
      </w:r>
      <w:r>
        <w:rPr>
          <w:rFonts w:hint="eastAsia" w:eastAsiaTheme="minorEastAsia"/>
          <w:sz w:val="22"/>
          <w:szCs w:val="22"/>
        </w:rPr>
        <w:t>大连机场</w:t>
      </w:r>
    </w:p>
    <w:p>
      <w:pPr>
        <w:keepNext w:val="0"/>
        <w:keepLines w:val="0"/>
        <w:widowControl w:val="0"/>
        <w:numPr>
          <w:ilvl w:val="0"/>
          <w:numId w:val="0"/>
        </w:numPr>
        <w:suppressLineNumbers w:val="0"/>
        <w:spacing w:before="0" w:beforeAutospacing="0" w:after="0" w:afterAutospacing="0" w:line="440" w:lineRule="exact"/>
        <w:ind w:leftChars="200" w:right="0" w:rightChars="0"/>
        <w:jc w:val="both"/>
        <w:rPr>
          <w:rFonts w:hint="eastAsia" w:ascii="宋体" w:hAnsi="宋体" w:eastAsia="宋体" w:cs="宋体"/>
          <w:b/>
          <w:bCs w:val="0"/>
          <w:kern w:val="2"/>
          <w:sz w:val="24"/>
          <w:szCs w:val="24"/>
          <w:lang w:val="en-US" w:eastAsia="zh-CN" w:bidi="ar"/>
        </w:rPr>
      </w:pP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b/>
          <w:bCs w:val="0"/>
          <w:sz w:val="24"/>
          <w:szCs w:val="24"/>
          <w:lang w:val="en-US"/>
        </w:rPr>
      </w:pP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三、项目清单</w:t>
      </w:r>
    </w:p>
    <w:tbl>
      <w:tblPr>
        <w:tblStyle w:val="21"/>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24"/>
        <w:gridCol w:w="2124"/>
        <w:gridCol w:w="2152"/>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ascii="宋体" w:hAnsi="宋体" w:eastAsia="宋体" w:cs="宋体"/>
                <w:kern w:val="2"/>
                <w:sz w:val="21"/>
                <w:szCs w:val="24"/>
                <w:lang w:val="en-US" w:eastAsia="zh-CN" w:bidi="ar"/>
              </w:rPr>
              <w:t>拟提供货物或服务名称</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ascii="宋体" w:hAnsi="宋体" w:eastAsia="宋体" w:cs="宋体"/>
                <w:kern w:val="2"/>
                <w:sz w:val="21"/>
                <w:szCs w:val="24"/>
                <w:lang w:val="en-US" w:eastAsia="zh-CN" w:bidi="ar"/>
              </w:rPr>
              <w:t>具体要求</w:t>
            </w:r>
          </w:p>
        </w:tc>
        <w:tc>
          <w:tcPr>
            <w:tcW w:w="21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ascii="宋体" w:hAnsi="宋体" w:eastAsia="宋体" w:cs="宋体"/>
                <w:kern w:val="2"/>
                <w:sz w:val="21"/>
                <w:szCs w:val="24"/>
                <w:lang w:val="en-US" w:eastAsia="zh-CN" w:bidi="ar"/>
              </w:rPr>
              <w:t>数量（单位）</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ascii="宋体" w:hAnsi="宋体" w:eastAsia="宋体" w:cs="宋体"/>
                <w:kern w:val="2"/>
                <w:sz w:val="21"/>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rPr>
              <w:t>600M全数字化超导核磁共振谱仪</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eastAsia="zh-CN"/>
              </w:rPr>
            </w:pPr>
            <w:r>
              <w:rPr>
                <w:rFonts w:hint="eastAsia" w:cs="宋体"/>
                <w:lang w:val="en-US" w:eastAsia="zh-CN"/>
              </w:rPr>
              <w:t>包括超导磁体，机柜，探头，自动进样器，低温附件等</w:t>
            </w:r>
          </w:p>
        </w:tc>
        <w:tc>
          <w:tcPr>
            <w:tcW w:w="21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eastAsia="zh-CN"/>
              </w:rPr>
            </w:pPr>
            <w:r>
              <w:rPr>
                <w:rFonts w:hint="eastAsia" w:cs="宋体"/>
                <w:lang w:val="en-US" w:eastAsia="zh-CN"/>
              </w:rPr>
              <w:t>一套</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rPr>
              <w:t xml:space="preserve">山特UPS  </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rPr>
              <w:t>3KVA</w:t>
            </w:r>
          </w:p>
        </w:tc>
        <w:tc>
          <w:tcPr>
            <w:tcW w:w="21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rPr>
              <w:t>1 台</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rPr>
              <w:t>空气压缩机</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eastAsia="zh-CN"/>
              </w:rPr>
            </w:pPr>
            <w:r>
              <w:rPr>
                <w:rFonts w:hint="eastAsia" w:cs="宋体"/>
                <w:lang w:val="en-US" w:eastAsia="zh-CN"/>
              </w:rPr>
              <w:t>螺杆式，日立合资</w:t>
            </w:r>
          </w:p>
        </w:tc>
        <w:tc>
          <w:tcPr>
            <w:tcW w:w="21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r>
              <w:rPr>
                <w:rFonts w:hint="eastAsia"/>
                <w:color w:val="FF0000"/>
                <w:lang w:val="en-US" w:eastAsia="zh-CN"/>
              </w:rPr>
              <w:t>2</w:t>
            </w:r>
            <w:r>
              <w:rPr>
                <w:rFonts w:hint="eastAsia"/>
                <w:color w:val="FF0000"/>
              </w:rPr>
              <w:t xml:space="preserve"> 台</w:t>
            </w:r>
          </w:p>
        </w:tc>
        <w:tc>
          <w:tcPr>
            <w:tcW w:w="21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lang w:val="en-US"/>
              </w:rPr>
            </w:pPr>
          </w:p>
        </w:tc>
      </w:tr>
    </w:tbl>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b/>
          <w:bCs w:val="0"/>
          <w:sz w:val="24"/>
          <w:szCs w:val="24"/>
          <w:lang w:val="en-US"/>
        </w:rPr>
      </w:pPr>
      <w:r>
        <w:rPr>
          <w:rFonts w:hint="eastAsia" w:ascii="宋体" w:hAnsi="宋体" w:eastAsia="宋体" w:cs="宋体"/>
          <w:b/>
          <w:bCs w:val="0"/>
          <w:kern w:val="2"/>
          <w:sz w:val="24"/>
          <w:szCs w:val="24"/>
          <w:lang w:val="en-US" w:eastAsia="zh-CN" w:bidi="ar"/>
        </w:rPr>
        <w:t>注：此表可延长</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lang w:val="en-US"/>
        </w:rPr>
      </w:pP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宋体" w:eastAsia="宋体" w:cs="宋体"/>
          <w:lang w:val="en-US"/>
        </w:rPr>
      </w:pPr>
    </w:p>
    <w:p>
      <w:pPr>
        <w:spacing w:line="400" w:lineRule="exact"/>
        <w:outlineLvl w:val="0"/>
        <w:rPr>
          <w:color w:val="000000"/>
          <w:sz w:val="36"/>
          <w:szCs w:val="36"/>
        </w:rPr>
      </w:pPr>
      <w:r>
        <w:rPr>
          <w:b/>
          <w:color w:val="000000"/>
          <w:sz w:val="30"/>
          <w:szCs w:val="30"/>
        </w:rPr>
        <w:br w:type="page"/>
      </w:r>
      <w:bookmarkStart w:id="3" w:name="_Toc28499"/>
      <w:r>
        <w:rPr>
          <w:rFonts w:hint="eastAsia"/>
          <w:color w:val="000000"/>
          <w:sz w:val="32"/>
          <w:szCs w:val="36"/>
        </w:rPr>
        <w:t>附件一：谈判响应书</w:t>
      </w:r>
      <w:bookmarkEnd w:id="3"/>
    </w:p>
    <w:p>
      <w:pPr>
        <w:spacing w:line="288" w:lineRule="auto"/>
        <w:ind w:firstLine="480"/>
        <w:rPr>
          <w:b/>
          <w:color w:val="000000"/>
          <w:sz w:val="36"/>
          <w:szCs w:val="36"/>
        </w:rPr>
      </w:pPr>
    </w:p>
    <w:p>
      <w:pPr>
        <w:spacing w:line="400" w:lineRule="exact"/>
        <w:jc w:val="center"/>
        <w:rPr>
          <w:b/>
          <w:color w:val="000000"/>
          <w:sz w:val="30"/>
          <w:szCs w:val="30"/>
        </w:rPr>
      </w:pPr>
      <w:r>
        <w:rPr>
          <w:rFonts w:hint="eastAsia"/>
          <w:b/>
          <w:color w:val="000000"/>
          <w:sz w:val="36"/>
          <w:szCs w:val="36"/>
        </w:rPr>
        <w:t>谈判响应书</w:t>
      </w:r>
    </w:p>
    <w:p>
      <w:pPr>
        <w:spacing w:line="288" w:lineRule="auto"/>
        <w:rPr>
          <w:rFonts w:ascii="黑体" w:hAnsi="黑体" w:eastAsia="黑体"/>
          <w:color w:val="000000"/>
          <w:sz w:val="28"/>
          <w:szCs w:val="28"/>
        </w:rPr>
      </w:pPr>
      <w:r>
        <w:rPr>
          <w:rFonts w:hint="eastAsia" w:ascii="仿宋_GB2312" w:eastAsia="仿宋_GB2312"/>
        </w:rPr>
        <w:t xml:space="preserve">致： </w:t>
      </w:r>
    </w:p>
    <w:p>
      <w:pPr>
        <w:spacing w:line="288" w:lineRule="auto"/>
        <w:ind w:firstLine="480"/>
        <w:rPr>
          <w:rFonts w:ascii="仿宋_GB2312" w:eastAsia="仿宋_GB2312"/>
        </w:rPr>
      </w:pPr>
      <w:r>
        <w:rPr>
          <w:rFonts w:hint="eastAsia" w:ascii="仿宋_GB2312" w:eastAsia="仿宋_GB2312"/>
        </w:rPr>
        <w:t>根据贵方</w:t>
      </w:r>
      <w:r>
        <w:rPr>
          <w:rFonts w:hint="eastAsia" w:ascii="仿宋_GB2312" w:eastAsia="仿宋_GB2312"/>
          <w:u w:val="single"/>
        </w:rPr>
        <w:t xml:space="preserve">                  </w:t>
      </w:r>
      <w:r>
        <w:rPr>
          <w:rFonts w:hint="eastAsia" w:ascii="仿宋_GB2312" w:eastAsia="仿宋_GB2312"/>
        </w:rPr>
        <w:t>项目谈判文件（项目编号：</w:t>
      </w:r>
      <w:r>
        <w:rPr>
          <w:rFonts w:hint="eastAsia" w:ascii="仿宋_GB2312" w:eastAsia="仿宋_GB2312"/>
          <w:u w:val="single"/>
        </w:rPr>
        <w:t xml:space="preserve">        </w:t>
      </w:r>
      <w:r>
        <w:rPr>
          <w:rFonts w:hint="eastAsia" w:ascii="仿宋_GB2312" w:eastAsia="仿宋_GB2312"/>
        </w:rPr>
        <w:t>），授权</w:t>
      </w:r>
      <w:r>
        <w:rPr>
          <w:rFonts w:hint="eastAsia" w:ascii="仿宋_GB2312" w:eastAsia="仿宋_GB2312"/>
          <w:u w:val="single"/>
        </w:rPr>
        <w:t xml:space="preserve">                     </w:t>
      </w:r>
      <w:r>
        <w:rPr>
          <w:rFonts w:hint="eastAsia" w:ascii="仿宋_GB2312" w:eastAsia="仿宋_GB2312"/>
        </w:rPr>
        <w:t>（职务）</w:t>
      </w:r>
      <w:r>
        <w:rPr>
          <w:rFonts w:hint="eastAsia" w:ascii="仿宋_GB2312" w:eastAsia="仿宋_GB2312"/>
          <w:u w:val="single"/>
        </w:rPr>
        <w:t xml:space="preserve">          </w:t>
      </w:r>
      <w:r>
        <w:rPr>
          <w:rFonts w:hint="eastAsia" w:ascii="仿宋_GB2312" w:eastAsia="仿宋_GB2312"/>
        </w:rPr>
        <w:t>（被授权人姓名）</w:t>
      </w:r>
      <w:r>
        <w:rPr>
          <w:rFonts w:hint="eastAsia" w:ascii="仿宋_GB2312" w:eastAsia="仿宋_GB2312"/>
          <w:u w:val="single"/>
        </w:rPr>
        <w:t xml:space="preserve">             </w:t>
      </w:r>
      <w:r>
        <w:rPr>
          <w:rFonts w:hint="eastAsia" w:ascii="仿宋_GB2312" w:eastAsia="仿宋_GB2312"/>
        </w:rPr>
        <w:t>（身份证号码）</w:t>
      </w:r>
      <w:r>
        <w:rPr>
          <w:rFonts w:hint="eastAsia" w:ascii="仿宋_GB2312" w:eastAsia="仿宋_GB2312"/>
          <w:u w:val="single"/>
        </w:rPr>
        <w:t xml:space="preserve">            </w:t>
      </w:r>
      <w:r>
        <w:rPr>
          <w:rFonts w:hint="eastAsia" w:ascii="仿宋_GB2312" w:eastAsia="仿宋_GB2312"/>
        </w:rPr>
        <w:t>为我单位的授权代理人。</w:t>
      </w:r>
    </w:p>
    <w:p>
      <w:pPr>
        <w:spacing w:line="288" w:lineRule="auto"/>
        <w:ind w:firstLine="480"/>
        <w:rPr>
          <w:rFonts w:ascii="仿宋_GB2312" w:eastAsia="仿宋_GB2312"/>
        </w:rPr>
      </w:pPr>
      <w:r>
        <w:rPr>
          <w:rFonts w:hint="eastAsia" w:ascii="仿宋_GB2312" w:eastAsia="仿宋_GB2312"/>
        </w:rPr>
        <w:t>他在</w:t>
      </w:r>
      <w:r>
        <w:rPr>
          <w:rFonts w:hint="eastAsia" w:ascii="仿宋_GB2312" w:eastAsia="仿宋_GB2312"/>
          <w:u w:val="single"/>
        </w:rPr>
        <w:t xml:space="preserve">                               </w:t>
      </w:r>
      <w:r>
        <w:rPr>
          <w:rFonts w:hint="eastAsia" w:ascii="仿宋_GB2312" w:eastAsia="仿宋_GB2312"/>
        </w:rPr>
        <w:t>项目谈判过程中签署谈判响应文件、与采购人洽谈以及与此有关的一切活动，我均予以承认。</w:t>
      </w:r>
    </w:p>
    <w:p>
      <w:pPr>
        <w:spacing w:line="288" w:lineRule="auto"/>
        <w:ind w:firstLine="480"/>
        <w:rPr>
          <w:rFonts w:ascii="仿宋_GB2312" w:eastAsia="仿宋_GB2312"/>
        </w:rPr>
      </w:pPr>
      <w:r>
        <w:rPr>
          <w:rFonts w:hint="eastAsia" w:ascii="仿宋_GB2312" w:eastAsia="仿宋_GB2312"/>
        </w:rPr>
        <w:t>按采购文件要求，提交谈判响应文件正本</w:t>
      </w:r>
      <w:r>
        <w:rPr>
          <w:rFonts w:hint="eastAsia" w:ascii="仿宋_GB2312" w:eastAsia="仿宋_GB2312"/>
          <w:u w:val="single"/>
        </w:rPr>
        <w:t xml:space="preserve">    </w:t>
      </w:r>
      <w:r>
        <w:rPr>
          <w:rFonts w:hint="eastAsia" w:ascii="仿宋_GB2312" w:eastAsia="仿宋_GB2312"/>
        </w:rPr>
        <w:t>份和副本</w:t>
      </w:r>
      <w:r>
        <w:rPr>
          <w:rFonts w:hint="eastAsia" w:ascii="仿宋_GB2312" w:eastAsia="仿宋_GB2312"/>
          <w:u w:val="single"/>
        </w:rPr>
        <w:t xml:space="preserve">   </w:t>
      </w:r>
      <w:r>
        <w:rPr>
          <w:rFonts w:hint="eastAsia" w:ascii="仿宋_GB2312" w:eastAsia="仿宋_GB2312"/>
        </w:rPr>
        <w:t>份。</w:t>
      </w:r>
    </w:p>
    <w:p>
      <w:pPr>
        <w:spacing w:line="288" w:lineRule="auto"/>
        <w:ind w:left="480"/>
        <w:rPr>
          <w:rFonts w:ascii="仿宋_GB2312" w:eastAsia="仿宋_GB2312"/>
        </w:rPr>
      </w:pPr>
      <w:r>
        <w:rPr>
          <w:rFonts w:hint="eastAsia" w:ascii="仿宋_GB2312" w:eastAsia="仿宋_GB2312"/>
        </w:rPr>
        <w:t>据此函，签字代表宣布同意如下：</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所附谈判报价表中规定的货物报价为：</w:t>
      </w:r>
      <w:r>
        <w:rPr>
          <w:rFonts w:hint="eastAsia" w:ascii="仿宋_GB2312" w:eastAsia="仿宋_GB2312"/>
          <w:u w:val="single"/>
        </w:rPr>
        <w:t xml:space="preserve">         </w:t>
      </w:r>
      <w:r>
        <w:rPr>
          <w:rFonts w:hint="eastAsia" w:ascii="仿宋_GB2312" w:eastAsia="仿宋_GB2312"/>
        </w:rPr>
        <w:t>（大写：</w:t>
      </w:r>
      <w:r>
        <w:rPr>
          <w:rFonts w:hint="eastAsia" w:ascii="仿宋_GB2312" w:eastAsia="仿宋_GB2312"/>
          <w:u w:val="single"/>
        </w:rPr>
        <w:t xml:space="preserve">     </w:t>
      </w:r>
      <w:r>
        <w:rPr>
          <w:rFonts w:hint="eastAsia" w:ascii="仿宋_GB2312" w:eastAsia="仿宋_GB2312"/>
        </w:rPr>
        <w:t xml:space="preserve"> ） </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所附谈判报价表中规定的货物供货期为：签订合同起，</w:t>
      </w:r>
      <w:r>
        <w:rPr>
          <w:rFonts w:hint="eastAsia" w:ascii="仿宋_GB2312" w:eastAsia="仿宋_GB2312"/>
          <w:u w:val="single"/>
        </w:rPr>
        <w:t xml:space="preserve">          </w:t>
      </w:r>
      <w:r>
        <w:rPr>
          <w:rFonts w:hint="eastAsia" w:ascii="仿宋_GB2312" w:eastAsia="仿宋_GB2312"/>
        </w:rPr>
        <w:t>个日历日内货到大连。</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所附谈判报价表中规定的货物质保期为：货到采购方指定地点安装、调试、验收合格之日起，免费质保</w:t>
      </w:r>
      <w:r>
        <w:rPr>
          <w:rFonts w:hint="eastAsia" w:ascii="仿宋_GB2312" w:eastAsia="仿宋_GB2312"/>
          <w:u w:val="single"/>
        </w:rPr>
        <w:t xml:space="preserve">         </w:t>
      </w:r>
      <w:r>
        <w:rPr>
          <w:rFonts w:hint="eastAsia" w:ascii="仿宋_GB2312" w:eastAsia="仿宋_GB2312"/>
        </w:rPr>
        <w:t>年。</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供应商将按单一来源采购文件的规定履行合同责任和义务。</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供应商已详细审查全部单一来源采购文件，包括修改文件（如需要修改）以及全部参考资料和有关附件。完全理解并同意放弃对这方面有不明及误解的权利。</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本谈判自谈判日起有效期为</w:t>
      </w:r>
      <w:r>
        <w:rPr>
          <w:rFonts w:hint="eastAsia" w:ascii="仿宋_GB2312" w:eastAsia="仿宋_GB2312"/>
          <w:u w:val="single"/>
        </w:rPr>
        <w:t xml:space="preserve">       </w:t>
      </w:r>
      <w:r>
        <w:rPr>
          <w:rFonts w:hint="eastAsia" w:ascii="仿宋_GB2312" w:eastAsia="仿宋_GB2312"/>
        </w:rPr>
        <w:t>个日历日。</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供应商同意提供按照贵方可能要求的与其谈判有关的一切数据或资料，我们充分理解采购人不保证最低价格成交。</w:t>
      </w:r>
    </w:p>
    <w:p>
      <w:pPr>
        <w:widowControl w:val="0"/>
        <w:numPr>
          <w:ilvl w:val="1"/>
          <w:numId w:val="6"/>
        </w:numPr>
        <w:tabs>
          <w:tab w:val="left" w:pos="900"/>
          <w:tab w:val="clear" w:pos="1320"/>
        </w:tabs>
        <w:spacing w:line="288" w:lineRule="auto"/>
        <w:ind w:left="616" w:leftChars="257"/>
        <w:jc w:val="both"/>
        <w:rPr>
          <w:rFonts w:ascii="仿宋_GB2312" w:eastAsia="仿宋_GB2312"/>
        </w:rPr>
      </w:pPr>
      <w:r>
        <w:rPr>
          <w:rFonts w:hint="eastAsia" w:ascii="仿宋_GB2312" w:eastAsia="仿宋_GB2312"/>
        </w:rPr>
        <w:t>与本谈判有关的一切正式往来通讯请寄：</w:t>
      </w:r>
    </w:p>
    <w:p>
      <w:pPr>
        <w:spacing w:line="288" w:lineRule="auto"/>
        <w:ind w:left="900"/>
        <w:rPr>
          <w:rFonts w:ascii="仿宋_GB2312" w:eastAsia="仿宋_GB2312"/>
        </w:rPr>
      </w:pPr>
      <w:r>
        <w:rPr>
          <w:rFonts w:hint="eastAsia" w:ascii="仿宋_GB2312" w:eastAsia="仿宋_GB2312"/>
        </w:rPr>
        <w:t>地址：</w:t>
      </w:r>
      <w:r>
        <w:rPr>
          <w:rFonts w:hint="eastAsia" w:ascii="仿宋_GB2312" w:eastAsia="仿宋_GB2312"/>
          <w:u w:val="single"/>
        </w:rPr>
        <w:t xml:space="preserve">                                  </w:t>
      </w:r>
      <w:r>
        <w:rPr>
          <w:rFonts w:hint="eastAsia" w:ascii="仿宋_GB2312" w:eastAsia="仿宋_GB2312"/>
        </w:rPr>
        <w:t>邮编：</w:t>
      </w:r>
      <w:r>
        <w:rPr>
          <w:rFonts w:hint="eastAsia" w:ascii="仿宋_GB2312" w:eastAsia="仿宋_GB2312"/>
          <w:u w:val="single"/>
        </w:rPr>
        <w:t xml:space="preserve">               </w:t>
      </w:r>
    </w:p>
    <w:p>
      <w:pPr>
        <w:spacing w:line="288" w:lineRule="auto"/>
        <w:ind w:left="900"/>
        <w:rPr>
          <w:rFonts w:ascii="仿宋_GB2312" w:eastAsia="仿宋_GB2312"/>
          <w:u w:val="single"/>
        </w:rPr>
      </w:pPr>
      <w:r>
        <w:rPr>
          <w:rFonts w:hint="eastAsia" w:ascii="仿宋_GB2312" w:eastAsia="仿宋_GB2312"/>
        </w:rPr>
        <w:t>电话：</w:t>
      </w:r>
      <w:r>
        <w:rPr>
          <w:rFonts w:hint="eastAsia" w:ascii="仿宋_GB2312" w:eastAsia="仿宋_GB2312"/>
          <w:u w:val="single"/>
        </w:rPr>
        <w:t xml:space="preserve">                                  </w:t>
      </w:r>
      <w:r>
        <w:rPr>
          <w:rFonts w:hint="eastAsia" w:ascii="仿宋_GB2312" w:eastAsia="仿宋_GB2312"/>
        </w:rPr>
        <w:t>传真：</w:t>
      </w:r>
      <w:r>
        <w:rPr>
          <w:rFonts w:hint="eastAsia" w:ascii="仿宋_GB2312" w:eastAsia="仿宋_GB2312"/>
          <w:u w:val="single"/>
        </w:rPr>
        <w:t xml:space="preserve">               </w:t>
      </w:r>
    </w:p>
    <w:p>
      <w:pPr>
        <w:spacing w:line="288" w:lineRule="auto"/>
        <w:ind w:left="900"/>
        <w:rPr>
          <w:rFonts w:ascii="仿宋_GB2312" w:eastAsia="仿宋_GB2312"/>
        </w:rPr>
      </w:pPr>
      <w:r>
        <w:rPr>
          <w:rFonts w:hint="eastAsia" w:ascii="仿宋_GB2312" w:eastAsia="仿宋_GB2312"/>
        </w:rPr>
        <w:t>供应商代表姓名</w:t>
      </w:r>
      <w:r>
        <w:rPr>
          <w:rFonts w:hint="eastAsia" w:ascii="仿宋_GB2312" w:eastAsia="仿宋_GB2312"/>
          <w:u w:val="single"/>
        </w:rPr>
        <w:t xml:space="preserve">                      </w:t>
      </w:r>
    </w:p>
    <w:p>
      <w:pPr>
        <w:spacing w:line="288" w:lineRule="auto"/>
        <w:ind w:firstLine="3000" w:firstLineChars="1250"/>
        <w:rPr>
          <w:rFonts w:ascii="仿宋_GB2312" w:eastAsia="仿宋_GB2312"/>
        </w:rPr>
      </w:pPr>
      <w:bookmarkStart w:id="4" w:name="_Toc168800662"/>
      <w:r>
        <w:rPr>
          <w:rFonts w:hint="eastAsia" w:ascii="仿宋_GB2312" w:eastAsia="仿宋_GB2312"/>
        </w:rPr>
        <w:t>授权单位名称：（公章）</w:t>
      </w:r>
    </w:p>
    <w:p>
      <w:pPr>
        <w:spacing w:line="288" w:lineRule="auto"/>
        <w:ind w:firstLine="3000" w:firstLineChars="1250"/>
        <w:rPr>
          <w:rFonts w:ascii="仿宋_GB2312" w:eastAsia="仿宋_GB2312"/>
        </w:rPr>
      </w:pPr>
      <w:r>
        <w:rPr>
          <w:rFonts w:hint="eastAsia" w:ascii="仿宋_GB2312" w:eastAsia="仿宋_GB2312"/>
        </w:rPr>
        <w:t>法定代表人：（签名）</w:t>
      </w:r>
    </w:p>
    <w:p>
      <w:pPr>
        <w:spacing w:line="288" w:lineRule="auto"/>
        <w:ind w:firstLine="3000" w:firstLineChars="1250"/>
        <w:rPr>
          <w:rFonts w:ascii="仿宋_GB2312" w:eastAsia="仿宋_GB2312"/>
        </w:rPr>
      </w:pPr>
      <w:r>
        <w:rPr>
          <w:rFonts w:hint="eastAsia" w:ascii="仿宋_GB2312" w:eastAsia="仿宋_GB2312"/>
        </w:rPr>
        <w:t>委托代理人：（签名）</w:t>
      </w:r>
    </w:p>
    <w:p>
      <w:pPr>
        <w:spacing w:line="288" w:lineRule="auto"/>
        <w:ind w:left="4320" w:leftChars="1800" w:firstLine="720" w:firstLineChars="300"/>
        <w:rPr>
          <w:rFonts w:ascii="仿宋_GB2312" w:eastAsia="仿宋_GB2312"/>
        </w:rPr>
      </w:pPr>
    </w:p>
    <w:p>
      <w:pPr>
        <w:spacing w:line="288" w:lineRule="auto"/>
        <w:ind w:left="4320" w:leftChars="1800" w:firstLine="720" w:firstLineChars="300"/>
        <w:rPr>
          <w:b/>
          <w:bCs/>
          <w:color w:val="000000"/>
        </w:rPr>
        <w:sectPr>
          <w:footerReference r:id="rId9" w:type="first"/>
          <w:footerReference r:id="rId8" w:type="default"/>
          <w:pgSz w:w="11906" w:h="16838"/>
          <w:pgMar w:top="1440" w:right="1797" w:bottom="1440" w:left="1797" w:header="851" w:footer="992" w:gutter="0"/>
          <w:pgNumType w:start="1"/>
          <w:cols w:space="720" w:num="1"/>
          <w:titlePg/>
          <w:docGrid w:type="linesAndChars" w:linePitch="326" w:charSpace="0"/>
        </w:sectPr>
      </w:pPr>
      <w:r>
        <w:rPr>
          <w:rFonts w:hint="eastAsia" w:ascii="仿宋_GB2312" w:eastAsia="仿宋_GB2312"/>
        </w:rPr>
        <w:t xml:space="preserve">年    月 </w:t>
      </w:r>
      <w:bookmarkEnd w:id="4"/>
    </w:p>
    <w:p>
      <w:pPr>
        <w:adjustRightInd w:val="0"/>
        <w:snapToGrid w:val="0"/>
        <w:spacing w:line="360" w:lineRule="auto"/>
        <w:outlineLvl w:val="0"/>
        <w:rPr>
          <w:bCs/>
          <w:color w:val="000000"/>
          <w:sz w:val="32"/>
          <w:szCs w:val="32"/>
        </w:rPr>
      </w:pPr>
      <w:bookmarkStart w:id="5" w:name="_Toc414543208"/>
      <w:bookmarkStart w:id="6" w:name="_Toc24548"/>
      <w:r>
        <w:rPr>
          <w:rFonts w:hint="eastAsia"/>
          <w:bCs/>
          <w:color w:val="000000"/>
          <w:sz w:val="32"/>
          <w:szCs w:val="32"/>
        </w:rPr>
        <w:t>附件二：</w:t>
      </w:r>
      <w:r>
        <w:rPr>
          <w:rFonts w:hint="eastAsia"/>
          <w:bCs/>
          <w:color w:val="000000"/>
          <w:sz w:val="28"/>
          <w:szCs w:val="32"/>
        </w:rPr>
        <w:t>大连理工大学采购与招标管理办公室位置示意图</w:t>
      </w:r>
      <w:bookmarkEnd w:id="5"/>
      <w:bookmarkEnd w:id="6"/>
    </w:p>
    <w:p>
      <w:pPr>
        <w:adjustRightInd w:val="0"/>
        <w:snapToGrid w:val="0"/>
        <w:spacing w:line="360" w:lineRule="auto"/>
        <w:jc w:val="center"/>
        <w:rPr>
          <w:rFonts w:ascii="黑体" w:hAnsi="黑体" w:eastAsia="黑体"/>
          <w:color w:val="000000"/>
          <w:sz w:val="28"/>
          <w:szCs w:val="28"/>
        </w:rPr>
      </w:pPr>
      <w:r>
        <mc:AlternateContent>
          <mc:Choice Requires="wps">
            <w:drawing>
              <wp:anchor distT="0" distB="0" distL="114300" distR="114300" simplePos="0" relativeHeight="1024" behindDoc="0" locked="0" layoutInCell="1" allowOverlap="1">
                <wp:simplePos x="0" y="0"/>
                <wp:positionH relativeFrom="column">
                  <wp:posOffset>3121660</wp:posOffset>
                </wp:positionH>
                <wp:positionV relativeFrom="paragraph">
                  <wp:posOffset>1955800</wp:posOffset>
                </wp:positionV>
                <wp:extent cx="1714500" cy="320040"/>
                <wp:effectExtent l="0" t="0" r="0" b="0"/>
                <wp:wrapNone/>
                <wp:docPr id="1" name="文本框 12"/>
                <wp:cNvGraphicFramePr/>
                <a:graphic xmlns:a="http://schemas.openxmlformats.org/drawingml/2006/main">
                  <a:graphicData uri="http://schemas.microsoft.com/office/word/2010/wordprocessingShape">
                    <wps:wsp>
                      <wps:cNvSpPr txBox="1"/>
                      <wps:spPr>
                        <a:xfrm>
                          <a:off x="0" y="0"/>
                          <a:ext cx="1714500" cy="320040"/>
                        </a:xfrm>
                        <a:prstGeom prst="rect">
                          <a:avLst/>
                        </a:prstGeom>
                        <a:noFill/>
                        <a:ln w="15875">
                          <a:noFill/>
                        </a:ln>
                      </wps:spPr>
                      <wps:txbx>
                        <w:txbxContent>
                          <w:p>
                            <w:pPr>
                              <w:jc w:val="center"/>
                              <w:rPr>
                                <w:b/>
                                <w:bCs/>
                              </w:rPr>
                            </w:pPr>
                            <w:r>
                              <w:rPr>
                                <w:rFonts w:hint="eastAsia"/>
                                <w:b/>
                                <w:bCs/>
                                <w:color w:val="FF0000"/>
                              </w:rPr>
                              <w:t>北门进入</w:t>
                            </w:r>
                          </w:p>
                        </w:txbxContent>
                      </wps:txbx>
                      <wps:bodyPr upright="1"/>
                    </wps:wsp>
                  </a:graphicData>
                </a:graphic>
              </wp:anchor>
            </w:drawing>
          </mc:Choice>
          <mc:Fallback>
            <w:pict>
              <v:shape id="文本框 12" o:spid="_x0000_s1026" o:spt="202" type="#_x0000_t202" style="position:absolute;left:0pt;margin-left:245.8pt;margin-top:154pt;height:25.2pt;width:135pt;z-index:1024;mso-width-relative:page;mso-height-relative:page;" filled="f" stroked="f" coordsize="21600,21600" o:gfxdata="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nhZtU9sAAAALAQAADwAAAAAAAAABACAAAAAi&#10;AAAAZHJzL2Rvd25yZXYueG1sUEsBAhQAFAAAAAgAh07iQMC0BrmVAQAACwMAAA4AAAAAAAAAAQAg&#10;AAAAKgEAAGRycy9lMm9Eb2MueG1sUEsFBgAAAAAGAAYAWQEAADEFAAAAAA==&#10;">
                <v:fill on="f" focussize="0,0"/>
                <v:stroke on="f" weight="1.25pt"/>
                <v:imagedata o:title=""/>
                <o:lock v:ext="edit" aspectratio="f"/>
                <v:textbox>
                  <w:txbxContent>
                    <w:p>
                      <w:pPr>
                        <w:jc w:val="center"/>
                        <w:rPr>
                          <w:b/>
                          <w:bCs/>
                        </w:rPr>
                      </w:pPr>
                      <w:r>
                        <w:rPr>
                          <w:rFonts w:hint="eastAsia"/>
                          <w:b/>
                          <w:bCs/>
                          <w:color w:val="FF0000"/>
                        </w:rPr>
                        <w:t>北门进入</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3990340</wp:posOffset>
                </wp:positionH>
                <wp:positionV relativeFrom="paragraph">
                  <wp:posOffset>2185670</wp:posOffset>
                </wp:positionV>
                <wp:extent cx="635" cy="274955"/>
                <wp:effectExtent l="71120" t="0" r="73025" b="6985"/>
                <wp:wrapNone/>
                <wp:docPr id="2" name="直线 9"/>
                <wp:cNvGraphicFramePr/>
                <a:graphic xmlns:a="http://schemas.openxmlformats.org/drawingml/2006/main">
                  <a:graphicData uri="http://schemas.microsoft.com/office/word/2010/wordprocessingShape">
                    <wps:wsp>
                      <wps:cNvCnPr/>
                      <wps:spPr>
                        <a:xfrm>
                          <a:off x="0" y="0"/>
                          <a:ext cx="635" cy="274955"/>
                        </a:xfrm>
                        <a:prstGeom prst="line">
                          <a:avLst/>
                        </a:prstGeom>
                        <a:ln w="31750" cap="flat" cmpd="sng">
                          <a:solidFill>
                            <a:srgbClr val="FF0000"/>
                          </a:solidFill>
                          <a:prstDash val="solid"/>
                          <a:headEnd type="none" w="med" len="med"/>
                          <a:tailEnd type="arrow" w="med" len="med"/>
                        </a:ln>
                      </wps:spPr>
                      <wps:bodyPr upright="1"/>
                    </wps:wsp>
                  </a:graphicData>
                </a:graphic>
              </wp:anchor>
            </w:drawing>
          </mc:Choice>
          <mc:Fallback>
            <w:pict>
              <v:line id="直线 9" o:spid="_x0000_s1026" o:spt="20" style="position:absolute;left:0pt;margin-left:314.2pt;margin-top:172.1pt;height:21.65pt;width:0.05pt;z-index:1024;mso-width-relative:page;mso-height-relative:page;" filled="f" stroked="t" coordsize="21600,21600" o:gfxdata="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zjzK2gAAAAsBAAAPAAAAAAAA&#10;AAEAIAAAACIAAABkcnMvZG93bnJldi54bWxQSwECFAAUAAAACACHTuJAvkZZLtcBAACQAwAADgAA&#10;AAAAAAABACAAAAApAQAAZHJzL2Uyb0RvYy54bWxQSwUGAAAAAAYABgBZAQAAcgUAAAAA&#10;">
                <v:fill on="f" focussize="0,0"/>
                <v:stroke weight="2.5pt" color="#FF0000" joinstyle="round" endarrow="open"/>
                <v:imagedata o:title=""/>
                <o:lock v:ext="edit" aspectratio="f"/>
              </v:line>
            </w:pict>
          </mc:Fallback>
        </mc:AlternateContent>
      </w:r>
      <w:r>
        <mc:AlternateContent>
          <mc:Choice Requires="wps">
            <w:drawing>
              <wp:anchor distT="0" distB="0" distL="114300" distR="114300" simplePos="0" relativeHeight="1024" behindDoc="0" locked="0" layoutInCell="1" allowOverlap="1">
                <wp:simplePos x="0" y="0"/>
                <wp:positionH relativeFrom="column">
                  <wp:posOffset>3563620</wp:posOffset>
                </wp:positionH>
                <wp:positionV relativeFrom="paragraph">
                  <wp:posOffset>2635885</wp:posOffset>
                </wp:positionV>
                <wp:extent cx="190500" cy="152400"/>
                <wp:effectExtent l="27940" t="22225" r="33020" b="23495"/>
                <wp:wrapNone/>
                <wp:docPr id="3" name="自选图形 10"/>
                <wp:cNvGraphicFramePr/>
                <a:graphic xmlns:a="http://schemas.openxmlformats.org/drawingml/2006/main">
                  <a:graphicData uri="http://schemas.microsoft.com/office/word/2010/wordprocessingShape">
                    <wps:wsp>
                      <wps:cNvSpPr/>
                      <wps:spPr>
                        <a:xfrm>
                          <a:off x="0" y="0"/>
                          <a:ext cx="190500" cy="152400"/>
                        </a:xfrm>
                        <a:prstGeom prst="star5">
                          <a:avLst/>
                        </a:prstGeom>
                        <a:solidFill>
                          <a:srgbClr val="FF0000"/>
                        </a:solidFill>
                        <a:ln w="15875" cap="flat" cmpd="sng">
                          <a:solidFill>
                            <a:srgbClr val="FF0000"/>
                          </a:solidFill>
                          <a:prstDash val="solid"/>
                          <a:miter/>
                          <a:headEnd type="none" w="med" len="med"/>
                          <a:tailEnd type="none" w="med" len="med"/>
                        </a:ln>
                      </wps:spPr>
                      <wps:bodyPr upright="1"/>
                    </wps:wsp>
                  </a:graphicData>
                </a:graphic>
              </wp:anchor>
            </w:drawing>
          </mc:Choice>
          <mc:Fallback>
            <w:pict>
              <v:shape id="自选图形 10" o:spid="_x0000_s1026" style="position:absolute;left:0pt;margin-left:280.6pt;margin-top:207.55pt;height:12pt;width:15pt;z-index:1024;mso-width-relative:page;mso-height-relative:page;" fillcolor="#FF0000" filled="t" stroked="t" coordsize="190500,152400" o:gfxdata="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qyr&#10;OtkAAAALAQAADwAAAAAAAAABACAAAAAiAAAAZHJzL2Rvd25yZXYueG1sUEsBAhQAFAAAAAgAh07i&#10;QKYy9zboAQAA2AMAAA4AAAAAAAAAAQAgAAAAKAEAAGRycy9lMm9Eb2MueG1sUEsFBgAAAAAGAAYA&#10;WQEAAIIFAAAAAA==&#10;" path="m0,58211l72764,58211,95250,0,117735,58211,190499,58211,131631,94187,154117,152399,95250,116422,36382,152399,58868,94187xe">
                <v:path o:connectlocs="95250,0;0,58211;36382,152399;154117,152399;190499,58211" o:connectangles="247,164,82,82,0"/>
                <v:fill on="t" focussize="0,0"/>
                <v:stroke weight="1.25pt" color="#FF0000" joinstyle="miter"/>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2687320</wp:posOffset>
                </wp:positionH>
                <wp:positionV relativeFrom="paragraph">
                  <wp:posOffset>2795905</wp:posOffset>
                </wp:positionV>
                <wp:extent cx="1714500" cy="320040"/>
                <wp:effectExtent l="0" t="0" r="0" b="0"/>
                <wp:wrapNone/>
                <wp:docPr id="4" name="文本框 11"/>
                <wp:cNvGraphicFramePr/>
                <a:graphic xmlns:a="http://schemas.openxmlformats.org/drawingml/2006/main">
                  <a:graphicData uri="http://schemas.microsoft.com/office/word/2010/wordprocessingShape">
                    <wps:wsp>
                      <wps:cNvSpPr txBox="1"/>
                      <wps:spPr>
                        <a:xfrm>
                          <a:off x="0" y="0"/>
                          <a:ext cx="1714500" cy="320040"/>
                        </a:xfrm>
                        <a:prstGeom prst="rect">
                          <a:avLst/>
                        </a:prstGeom>
                        <a:noFill/>
                        <a:ln w="15875">
                          <a:noFill/>
                        </a:ln>
                      </wps:spPr>
                      <wps:txbx>
                        <w:txbxContent>
                          <w:p>
                            <w:pPr>
                              <w:jc w:val="center"/>
                              <w:rPr>
                                <w:b/>
                                <w:bCs/>
                              </w:rPr>
                            </w:pPr>
                            <w:r>
                              <w:rPr>
                                <w:rFonts w:hint="eastAsia"/>
                                <w:b/>
                                <w:bCs/>
                                <w:color w:val="FF0000"/>
                              </w:rPr>
                              <w:t>采购与招标管理办公室</w:t>
                            </w:r>
                          </w:p>
                        </w:txbxContent>
                      </wps:txbx>
                      <wps:bodyPr upright="1"/>
                    </wps:wsp>
                  </a:graphicData>
                </a:graphic>
              </wp:anchor>
            </w:drawing>
          </mc:Choice>
          <mc:Fallback>
            <w:pict>
              <v:shape id="文本框 11" o:spid="_x0000_s1026" o:spt="202" type="#_x0000_t202" style="position:absolute;left:0pt;margin-left:211.6pt;margin-top:220.15pt;height:25.2pt;width:135pt;z-index:1024;mso-width-relative:page;mso-height-relative:page;" filled="f" stroked="f" coordsize="21600,21600" o:gfxdata="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pZuAzcAAAACwEAAA8AAAAAAAAAAQAgAAAA&#10;IgAAAGRycy9kb3ducmV2LnhtbFBLAQIUABQAAAAIAIdO4kDj9qXtlQEAAAsDAAAOAAAAAAAAAAEA&#10;IAAAACsBAABkcnMvZTJvRG9jLnhtbFBLBQYAAAAABgAGAFkBAAAyBQAAAAA=&#10;">
                <v:fill on="f" focussize="0,0"/>
                <v:stroke on="f" weight="1.25pt"/>
                <v:imagedata o:title=""/>
                <o:lock v:ext="edit" aspectratio="f"/>
                <v:textbox>
                  <w:txbxContent>
                    <w:p>
                      <w:pPr>
                        <w:jc w:val="center"/>
                        <w:rPr>
                          <w:b/>
                          <w:bCs/>
                        </w:rPr>
                      </w:pPr>
                      <w:r>
                        <w:rPr>
                          <w:rFonts w:hint="eastAsia"/>
                          <w:b/>
                          <w:bCs/>
                          <w:color w:val="FF0000"/>
                        </w:rPr>
                        <w:t>采购与招标管理办公室</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1506220</wp:posOffset>
                </wp:positionH>
                <wp:positionV relativeFrom="paragraph">
                  <wp:posOffset>479425</wp:posOffset>
                </wp:positionV>
                <wp:extent cx="716280" cy="670560"/>
                <wp:effectExtent l="12700" t="11430" r="17780" b="19050"/>
                <wp:wrapNone/>
                <wp:docPr id="5" name="自选图形 13"/>
                <wp:cNvGraphicFramePr/>
                <a:graphic xmlns:a="http://schemas.openxmlformats.org/drawingml/2006/main">
                  <a:graphicData uri="http://schemas.microsoft.com/office/word/2010/wordprocessingShape">
                    <wps:wsp>
                      <wps:cNvSpPr/>
                      <wps:spPr>
                        <a:xfrm>
                          <a:off x="0" y="0"/>
                          <a:ext cx="716280" cy="670560"/>
                        </a:xfrm>
                        <a:custGeom>
                          <a:avLst/>
                          <a:gdLst>
                            <a:gd name="txL" fmla="*/ 2473 w 21600"/>
                            <a:gd name="txT" fmla="*/ 8640 h 21600"/>
                            <a:gd name="txR" fmla="*/ 19126 w 21600"/>
                            <a:gd name="txB" fmla="*/ 12960 h 21600"/>
                          </a:gdLst>
                          <a:ahLst/>
                          <a:cxnLst/>
                          <a:rect l="txL" t="txT" r="txR" b="txB"/>
                          <a:pathLst>
                            <a:path w="21600" h="21600">
                              <a:moveTo>
                                <a:pt x="10800" y="0"/>
                              </a:moveTo>
                              <a:lnTo>
                                <a:pt x="7028" y="4320"/>
                              </a:lnTo>
                              <a:lnTo>
                                <a:pt x="8640" y="4320"/>
                              </a:lnTo>
                              <a:lnTo>
                                <a:pt x="8640" y="8640"/>
                              </a:lnTo>
                              <a:lnTo>
                                <a:pt x="4320" y="8640"/>
                              </a:lnTo>
                              <a:lnTo>
                                <a:pt x="4320" y="7028"/>
                              </a:lnTo>
                              <a:lnTo>
                                <a:pt x="0" y="10800"/>
                              </a:lnTo>
                              <a:lnTo>
                                <a:pt x="4320" y="14572"/>
                              </a:lnTo>
                              <a:lnTo>
                                <a:pt x="4320" y="12960"/>
                              </a:lnTo>
                              <a:lnTo>
                                <a:pt x="8640" y="12960"/>
                              </a:lnTo>
                              <a:lnTo>
                                <a:pt x="8640" y="17280"/>
                              </a:lnTo>
                              <a:lnTo>
                                <a:pt x="7028" y="17280"/>
                              </a:lnTo>
                              <a:lnTo>
                                <a:pt x="10800" y="21600"/>
                              </a:lnTo>
                              <a:lnTo>
                                <a:pt x="14572" y="17280"/>
                              </a:lnTo>
                              <a:lnTo>
                                <a:pt x="12960" y="17280"/>
                              </a:lnTo>
                              <a:lnTo>
                                <a:pt x="12960" y="12960"/>
                              </a:lnTo>
                              <a:lnTo>
                                <a:pt x="17280" y="12960"/>
                              </a:lnTo>
                              <a:lnTo>
                                <a:pt x="17280" y="14572"/>
                              </a:lnTo>
                              <a:lnTo>
                                <a:pt x="21600" y="10800"/>
                              </a:lnTo>
                              <a:lnTo>
                                <a:pt x="17280" y="7028"/>
                              </a:lnTo>
                              <a:lnTo>
                                <a:pt x="17280" y="8640"/>
                              </a:lnTo>
                              <a:lnTo>
                                <a:pt x="12960" y="8640"/>
                              </a:lnTo>
                              <a:lnTo>
                                <a:pt x="12960" y="4320"/>
                              </a:lnTo>
                              <a:lnTo>
                                <a:pt x="14572" y="4320"/>
                              </a:lnTo>
                              <a:close/>
                            </a:path>
                          </a:pathLst>
                        </a:cu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shape id="自选图形 13" o:spid="_x0000_s1026" o:spt="100" style="position:absolute;left:0pt;margin-left:118.6pt;margin-top:37.75pt;height:52.8pt;width:56.4pt;z-index:1024;mso-width-relative:page;mso-height-relative:page;" fillcolor="#BBD5F0" filled="t" stroked="t" coordsize="21600,21600" o:gfxdata="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r4EsxdkAAAAKAQAADwAAAAAAAAABACAAAAAiAAAA&#10;ZHJzL2Rvd25yZXYueG1sUEsBAhQAFAAAAAgAh07iQE4DjjZcAwAAnQkAAA4AAAAAAAAAAQAgAAAA&#10;KAEAAGRycy9lMm9Eb2MueG1sUEsFBgAAAAAGAAYAWQEAAPYGAAAAAA==&#10;" path="m10800,0l7028,4320,8640,4320,8640,8640,4320,8640,4320,7028,0,10800,4320,14572,4320,12960,8640,12960,8640,17280,7028,17280,10800,21600,14572,17280,12960,17280,12960,12960,17280,12960,17280,14572,21600,10800,17280,7028,17280,8640,12960,8640,12960,4320,14572,4320xe">
                <v:fill type="gradient" on="t" color2="#9CBEE0" focus="100%" focussize="0,0">
                  <o:fill type="gradientUnscaled" v:ext="backwardCompatible"/>
                </v:fill>
                <v:stroke weight="1.25pt" color="#739CC3" joinstyle="miter"/>
                <v:imagedata o:title=""/>
                <o:lock v:ext="edit" aspectratio="f"/>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1384935</wp:posOffset>
                </wp:positionH>
                <wp:positionV relativeFrom="paragraph">
                  <wp:posOffset>37465</wp:posOffset>
                </wp:positionV>
                <wp:extent cx="958850" cy="43307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958850" cy="433070"/>
                        </a:xfrm>
                        <a:prstGeom prst="rect">
                          <a:avLst/>
                        </a:prstGeom>
                        <a:noFill/>
                        <a:ln w="15875">
                          <a:noFill/>
                        </a:ln>
                      </wps:spPr>
                      <wps:txbx>
                        <w:txbxContent>
                          <w:p>
                            <w:pPr>
                              <w:jc w:val="center"/>
                              <w:rPr>
                                <w:b/>
                                <w:bCs/>
                                <w:color w:val="548DD4"/>
                                <w:sz w:val="28"/>
                                <w:szCs w:val="28"/>
                              </w:rPr>
                            </w:pPr>
                            <w:r>
                              <w:rPr>
                                <w:rFonts w:hint="eastAsia"/>
                                <w:b/>
                                <w:bCs/>
                                <w:color w:val="548DD4"/>
                                <w:sz w:val="28"/>
                                <w:szCs w:val="28"/>
                              </w:rPr>
                              <w:t>北</w:t>
                            </w:r>
                          </w:p>
                        </w:txbxContent>
                      </wps:txbx>
                      <wps:bodyPr upright="1"/>
                    </wps:wsp>
                  </a:graphicData>
                </a:graphic>
              </wp:anchor>
            </w:drawing>
          </mc:Choice>
          <mc:Fallback>
            <w:pict>
              <v:shape id="文本框 14" o:spid="_x0000_s1026" o:spt="202" type="#_x0000_t202" style="position:absolute;left:0pt;margin-left:109.05pt;margin-top:2.95pt;height:34.1pt;width:75.5pt;z-index:1024;mso-width-relative:page;mso-height-relative:page;" filled="f" stroked="f" coordsize="21600,21600" o:gfxdata="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UvxUc2wAAAAgBAAAPAAAAAAAAAAEAIAAA&#10;ACIAAABkcnMvZG93bnJldi54bWxQSwECFAAUAAAACACHTuJAsAYNzJcBAAAKAwAADgAAAAAAAAAB&#10;ACAAAAAqAQAAZHJzL2Uyb0RvYy54bWxQSwUGAAAAAAYABgBZAQAAMwUAAAAA&#10;">
                <v:fill on="f" focussize="0,0"/>
                <v:stroke on="f" weight="1.25pt"/>
                <v:imagedata o:title=""/>
                <o:lock v:ext="edit" aspectratio="f"/>
                <v:textbox>
                  <w:txbxContent>
                    <w:p>
                      <w:pPr>
                        <w:jc w:val="center"/>
                        <w:rPr>
                          <w:b/>
                          <w:bCs/>
                          <w:color w:val="548DD4"/>
                          <w:sz w:val="28"/>
                          <w:szCs w:val="28"/>
                        </w:rPr>
                      </w:pPr>
                      <w:r>
                        <w:rPr>
                          <w:rFonts w:hint="eastAsia"/>
                          <w:b/>
                          <w:bCs/>
                          <w:color w:val="548DD4"/>
                          <w:sz w:val="28"/>
                          <w:szCs w:val="28"/>
                        </w:rPr>
                        <w:t>北</w:t>
                      </w:r>
                    </w:p>
                  </w:txbxContent>
                </v:textbox>
              </v:shape>
            </w:pict>
          </mc:Fallback>
        </mc:AlternateContent>
      </w:r>
      <w:r>
        <w:drawing>
          <wp:inline distT="0" distB="0" distL="114300" distR="114300">
            <wp:extent cx="7162800" cy="45643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7162800" cy="4564380"/>
                    </a:xfrm>
                    <a:prstGeom prst="rect">
                      <a:avLst/>
                    </a:prstGeom>
                    <a:noFill/>
                    <a:ln w="9525">
                      <a:noFill/>
                    </a:ln>
                  </pic:spPr>
                </pic:pic>
              </a:graphicData>
            </a:graphic>
          </wp:inline>
        </w:drawing>
      </w:r>
    </w:p>
    <w:p>
      <w:pPr>
        <w:adjustRightInd w:val="0"/>
        <w:snapToGrid w:val="0"/>
        <w:spacing w:line="360" w:lineRule="auto"/>
        <w:jc w:val="both"/>
        <w:rPr>
          <w:b/>
          <w:bCs/>
          <w:color w:val="000000"/>
        </w:rPr>
      </w:pPr>
    </w:p>
    <w:sectPr>
      <w:pgSz w:w="16838" w:h="11906" w:orient="landscape"/>
      <w:pgMar w:top="1797" w:right="1440" w:bottom="1797" w:left="1440" w:header="851" w:footer="992" w:gutter="0"/>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F&#10;W9dTtwEAAFQDAAAOAAAAAAAAAAEAIAAAAB4BAABkcnMvZTJvRG9jLnhtbFBLBQYAAAAABgAGAFkB&#10;AABH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7"/>
      </w:rPr>
    </w:pPr>
    <w:r>
      <w:fldChar w:fldCharType="begin"/>
    </w:r>
    <w:r>
      <w:rPr>
        <w:rStyle w:val="17"/>
      </w:rPr>
      <w:instrText xml:space="preserve">PAGE  </w:instrText>
    </w:r>
    <w:r>
      <w:fldChar w:fldCharType="separate"/>
    </w:r>
    <w:r>
      <w:rPr>
        <w:rStyle w:val="17"/>
      </w:rPr>
      <w:t>1</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Y&#10;dwgvtwEAAFQDAAAOAAAAAAAAAAEAIAAAAB4BAABkcnMvZTJvRG9jLnhtbFBLBQYAAAAABgAGAFkB&#10;AABH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6</w:t>
                          </w:r>
                          <w:r>
                            <w:rPr>
                              <w:rFonts w:hint="eastAsia"/>
                              <w:sz w:val="18"/>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S&#10;u9zttwEAAFUDAAAOAAAAAAAAAAEAIAAAAB4BAABkcnMvZTJvRG9jLnhtbFBLBQYAAAAABgAGAFkB&#10;AABH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6</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K88&#10;/sy2AQAAVQMAAA4AAAAAAAAAAQAgAAAAHgEAAGRycy9lMm9Eb2MueG1sUEsFBgAAAAAGAAYAWQEA&#10;AEY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drawing>
        <wp:anchor distT="0" distB="0" distL="114300" distR="114300" simplePos="0" relativeHeight="503315456" behindDoc="1" locked="0" layoutInCell="0" allowOverlap="1">
          <wp:simplePos x="0" y="0"/>
          <wp:positionH relativeFrom="margin">
            <wp:align>center</wp:align>
          </wp:positionH>
          <wp:positionV relativeFrom="margin">
            <wp:align>center</wp:align>
          </wp:positionV>
          <wp:extent cx="5191125" cy="5000625"/>
          <wp:effectExtent l="0" t="0" r="5715" b="5715"/>
          <wp:wrapNone/>
          <wp:docPr id="12" name="WordPictureWatermark32827604" descr="QQ截图2015031617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32827604" descr="QQ截图20150316170941"/>
                  <pic:cNvPicPr>
                    <a:picLocks noChangeAspect="1"/>
                  </pic:cNvPicPr>
                </pic:nvPicPr>
                <pic:blipFill>
                  <a:blip r:embed="rId1"/>
                  <a:stretch>
                    <a:fillRect/>
                  </a:stretch>
                </pic:blipFill>
                <pic:spPr>
                  <a:xfrm>
                    <a:off x="0" y="0"/>
                    <a:ext cx="5191125" cy="500062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anchor distT="0" distB="0" distL="114300" distR="114300" simplePos="0" relativeHeight="503315456" behindDoc="1" locked="0" layoutInCell="0" allowOverlap="1">
          <wp:simplePos x="0" y="0"/>
          <wp:positionH relativeFrom="margin">
            <wp:align>center</wp:align>
          </wp:positionH>
          <wp:positionV relativeFrom="margin">
            <wp:align>center</wp:align>
          </wp:positionV>
          <wp:extent cx="5191125" cy="5000625"/>
          <wp:effectExtent l="0" t="0" r="5715" b="5715"/>
          <wp:wrapNone/>
          <wp:docPr id="13" name="WordPictureWatermark32827603" descr="QQ截图2015031617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32827603" descr="QQ截图20150316170941"/>
                  <pic:cNvPicPr>
                    <a:picLocks noChangeAspect="1"/>
                  </pic:cNvPicPr>
                </pic:nvPicPr>
                <pic:blipFill>
                  <a:blip r:embed="rId1"/>
                  <a:stretch>
                    <a:fillRect/>
                  </a:stretch>
                </pic:blipFill>
                <pic:spPr>
                  <a:xfrm>
                    <a:off x="0" y="0"/>
                    <a:ext cx="5191125" cy="500062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1320"/>
        </w:tabs>
        <w:ind w:left="1320" w:hanging="360"/>
      </w:pPr>
      <w:rPr>
        <w:rFonts w:hint="eastAsia"/>
        <w:u w:val="none"/>
      </w:r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
    <w:nsid w:val="0A173D0E"/>
    <w:multiLevelType w:val="multilevel"/>
    <w:tmpl w:val="0A173D0E"/>
    <w:lvl w:ilvl="0" w:tentative="0">
      <w:start w:val="1"/>
      <w:numFmt w:val="chineseCountingThousand"/>
      <w:lvlText w:val="%1、"/>
      <w:lvlJc w:val="left"/>
      <w:pPr>
        <w:ind w:left="851" w:hanging="567"/>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613A1C3"/>
    <w:multiLevelType w:val="singleLevel"/>
    <w:tmpl w:val="4613A1C3"/>
    <w:lvl w:ilvl="0" w:tentative="0">
      <w:start w:val="2"/>
      <w:numFmt w:val="chineseCounting"/>
      <w:suff w:val="nothing"/>
      <w:lvlText w:val="%1、"/>
      <w:lvlJc w:val="left"/>
      <w:rPr>
        <w:rFonts w:hint="eastAsia"/>
      </w:rPr>
    </w:lvl>
  </w:abstractNum>
  <w:abstractNum w:abstractNumId="3">
    <w:nsid w:val="537E5D98"/>
    <w:multiLevelType w:val="multilevel"/>
    <w:tmpl w:val="537E5D98"/>
    <w:lvl w:ilvl="0" w:tentative="0">
      <w:start w:val="1"/>
      <w:numFmt w:val="japaneseCounting"/>
      <w:lvlText w:val="第%1章"/>
      <w:lvlJc w:val="left"/>
      <w:pPr>
        <w:ind w:left="1800" w:hanging="1080"/>
      </w:pPr>
      <w:rPr>
        <w:rFonts w:hint="default"/>
        <w:b/>
        <w:sz w:val="36"/>
        <w:szCs w:val="30"/>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
    <w:nsid w:val="58F072FD"/>
    <w:multiLevelType w:val="singleLevel"/>
    <w:tmpl w:val="58F072FD"/>
    <w:lvl w:ilvl="0" w:tentative="0">
      <w:start w:val="7"/>
      <w:numFmt w:val="chineseCounting"/>
      <w:suff w:val="nothing"/>
      <w:lvlText w:val="%1、"/>
      <w:lvlJc w:val="left"/>
    </w:lvl>
  </w:abstractNum>
  <w:abstractNum w:abstractNumId="5">
    <w:nsid w:val="58F077E6"/>
    <w:multiLevelType w:val="singleLevel"/>
    <w:tmpl w:val="58F077E6"/>
    <w:lvl w:ilvl="0" w:tentative="0">
      <w:start w:val="5"/>
      <w:numFmt w:val="chineseCounting"/>
      <w:suff w:val="nothing"/>
      <w:lvlText w:val="%1、"/>
      <w:lvlJc w:val="left"/>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5"/>
  <w:bordersDoNotSurroundHeader w:val="1"/>
  <w:bordersDoNotSurroundFooter w:val="1"/>
  <w:doNotTrackMove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45325"/>
    <w:rsid w:val="001C65FD"/>
    <w:rsid w:val="00212600"/>
    <w:rsid w:val="00237A7C"/>
    <w:rsid w:val="00263EEB"/>
    <w:rsid w:val="00292877"/>
    <w:rsid w:val="003234E3"/>
    <w:rsid w:val="0035470E"/>
    <w:rsid w:val="003637AA"/>
    <w:rsid w:val="003E7C5D"/>
    <w:rsid w:val="003F62EB"/>
    <w:rsid w:val="004078A3"/>
    <w:rsid w:val="00422E3E"/>
    <w:rsid w:val="004501E5"/>
    <w:rsid w:val="004D5994"/>
    <w:rsid w:val="004E5987"/>
    <w:rsid w:val="004E5DB5"/>
    <w:rsid w:val="004E7A01"/>
    <w:rsid w:val="0050124A"/>
    <w:rsid w:val="005058FE"/>
    <w:rsid w:val="005227FC"/>
    <w:rsid w:val="00552E42"/>
    <w:rsid w:val="005972E1"/>
    <w:rsid w:val="005F5B86"/>
    <w:rsid w:val="006B3987"/>
    <w:rsid w:val="007407B6"/>
    <w:rsid w:val="007560D1"/>
    <w:rsid w:val="00797004"/>
    <w:rsid w:val="007B2DAA"/>
    <w:rsid w:val="007C32B4"/>
    <w:rsid w:val="007D0A0D"/>
    <w:rsid w:val="007E35D5"/>
    <w:rsid w:val="00804B26"/>
    <w:rsid w:val="00863D12"/>
    <w:rsid w:val="008C45E8"/>
    <w:rsid w:val="008E468E"/>
    <w:rsid w:val="009359E6"/>
    <w:rsid w:val="00936025"/>
    <w:rsid w:val="0094620D"/>
    <w:rsid w:val="009E5FD4"/>
    <w:rsid w:val="00B14258"/>
    <w:rsid w:val="00B32CD5"/>
    <w:rsid w:val="00B34003"/>
    <w:rsid w:val="00B637C3"/>
    <w:rsid w:val="00BF1592"/>
    <w:rsid w:val="00BF36D1"/>
    <w:rsid w:val="00C07759"/>
    <w:rsid w:val="00C12F2C"/>
    <w:rsid w:val="00C178B7"/>
    <w:rsid w:val="00C5140C"/>
    <w:rsid w:val="00C81000"/>
    <w:rsid w:val="00CA2869"/>
    <w:rsid w:val="00CB22C9"/>
    <w:rsid w:val="00CE14B8"/>
    <w:rsid w:val="00CE20D1"/>
    <w:rsid w:val="00D16CF7"/>
    <w:rsid w:val="00D23C91"/>
    <w:rsid w:val="00D44B61"/>
    <w:rsid w:val="00D542BF"/>
    <w:rsid w:val="00D70098"/>
    <w:rsid w:val="00D867DB"/>
    <w:rsid w:val="00DB77BC"/>
    <w:rsid w:val="00EA7272"/>
    <w:rsid w:val="00F538BE"/>
    <w:rsid w:val="00F54627"/>
    <w:rsid w:val="00F61DC0"/>
    <w:rsid w:val="00F62331"/>
    <w:rsid w:val="00F669DA"/>
    <w:rsid w:val="00F94DA2"/>
    <w:rsid w:val="00FD45E3"/>
    <w:rsid w:val="06471B5D"/>
    <w:rsid w:val="0AEC7C8C"/>
    <w:rsid w:val="0B1775C8"/>
    <w:rsid w:val="0EE73BC5"/>
    <w:rsid w:val="0F59078B"/>
    <w:rsid w:val="10B02FC0"/>
    <w:rsid w:val="178F26E1"/>
    <w:rsid w:val="184B19F3"/>
    <w:rsid w:val="1B1C6E89"/>
    <w:rsid w:val="1B716D3D"/>
    <w:rsid w:val="1BFE2AAC"/>
    <w:rsid w:val="1DC6181D"/>
    <w:rsid w:val="1E7540A5"/>
    <w:rsid w:val="25A56124"/>
    <w:rsid w:val="2F690AB7"/>
    <w:rsid w:val="2F6E294B"/>
    <w:rsid w:val="33361222"/>
    <w:rsid w:val="42834A30"/>
    <w:rsid w:val="45004F62"/>
    <w:rsid w:val="462355C9"/>
    <w:rsid w:val="465C3AA8"/>
    <w:rsid w:val="47DA3739"/>
    <w:rsid w:val="48D14F4C"/>
    <w:rsid w:val="48F80205"/>
    <w:rsid w:val="576A622C"/>
    <w:rsid w:val="57C129CB"/>
    <w:rsid w:val="5B861920"/>
    <w:rsid w:val="682E51B2"/>
    <w:rsid w:val="683209CD"/>
    <w:rsid w:val="6A3B607A"/>
    <w:rsid w:val="6A7E1439"/>
    <w:rsid w:val="6A99328A"/>
    <w:rsid w:val="6EC7690C"/>
    <w:rsid w:val="732A167A"/>
    <w:rsid w:val="737268C1"/>
    <w:rsid w:val="74C0251D"/>
    <w:rsid w:val="75D2454D"/>
    <w:rsid w:val="77054694"/>
    <w:rsid w:val="776104DB"/>
    <w:rsid w:val="77AA3FAF"/>
    <w:rsid w:val="795D3DA6"/>
    <w:rsid w:val="7A4B6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5">
    <w:name w:val="Default Paragraph Font"/>
    <w:unhideWhenUsed/>
    <w:uiPriority w:val="1"/>
  </w:style>
  <w:style w:type="table" w:default="1" w:styleId="2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3">
    <w:name w:val="annotation subject"/>
    <w:basedOn w:val="4"/>
    <w:next w:val="4"/>
    <w:link w:val="27"/>
    <w:uiPriority w:val="0"/>
    <w:rPr>
      <w:b/>
      <w:bCs/>
    </w:rPr>
  </w:style>
  <w:style w:type="paragraph" w:styleId="4">
    <w:name w:val="annotation text"/>
    <w:basedOn w:val="1"/>
    <w:link w:val="26"/>
    <w:qFormat/>
    <w:uiPriority w:val="0"/>
  </w:style>
  <w:style w:type="paragraph" w:styleId="5">
    <w:name w:val="Body Text Indent"/>
    <w:basedOn w:val="1"/>
    <w:link w:val="28"/>
    <w:unhideWhenUsed/>
    <w:qFormat/>
    <w:uiPriority w:val="0"/>
    <w:pPr>
      <w:widowControl w:val="0"/>
      <w:spacing w:line="480" w:lineRule="exact"/>
      <w:ind w:left="178" w:leftChars="85"/>
      <w:jc w:val="both"/>
    </w:pPr>
    <w:rPr>
      <w:rFonts w:cs="Times New Roman"/>
      <w:kern w:val="2"/>
      <w:sz w:val="28"/>
    </w:rPr>
  </w:style>
  <w:style w:type="paragraph" w:styleId="6">
    <w:name w:val="toc 3"/>
    <w:basedOn w:val="1"/>
    <w:next w:val="1"/>
    <w:qFormat/>
    <w:uiPriority w:val="39"/>
    <w:pPr>
      <w:ind w:left="840" w:leftChars="400"/>
    </w:pPr>
  </w:style>
  <w:style w:type="paragraph" w:styleId="7">
    <w:name w:val="Plain Text"/>
    <w:basedOn w:val="1"/>
    <w:qFormat/>
    <w:uiPriority w:val="0"/>
    <w:pPr>
      <w:spacing w:before="100" w:beforeAutospacing="1" w:after="100" w:afterAutospacing="1"/>
    </w:pPr>
  </w:style>
  <w:style w:type="paragraph" w:styleId="8">
    <w:name w:val="Date"/>
    <w:basedOn w:val="1"/>
    <w:next w:val="1"/>
    <w:qFormat/>
    <w:uiPriority w:val="0"/>
    <w:pPr>
      <w:spacing w:before="100" w:beforeAutospacing="1" w:after="100" w:afterAutospacing="1"/>
    </w:pPr>
  </w:style>
  <w:style w:type="paragraph" w:styleId="9">
    <w:name w:val="Body Text Indent 2"/>
    <w:basedOn w:val="1"/>
    <w:link w:val="29"/>
    <w:unhideWhenUsed/>
    <w:qFormat/>
    <w:uiPriority w:val="0"/>
    <w:pPr>
      <w:widowControl w:val="0"/>
      <w:spacing w:line="480" w:lineRule="exact"/>
      <w:ind w:left="178" w:leftChars="85" w:firstLine="1"/>
      <w:jc w:val="both"/>
    </w:pPr>
    <w:rPr>
      <w:rFonts w:cs="Times New Roman"/>
      <w:kern w:val="2"/>
      <w:sz w:val="28"/>
    </w:rPr>
  </w:style>
  <w:style w:type="paragraph" w:styleId="10">
    <w:name w:val="Balloon Text"/>
    <w:basedOn w:val="1"/>
    <w:semiHidden/>
    <w:qFormat/>
    <w:uiPriority w:val="0"/>
    <w:rPr>
      <w:sz w:val="18"/>
      <w:szCs w:val="18"/>
    </w:rPr>
  </w:style>
  <w:style w:type="paragraph" w:styleId="11">
    <w:name w:val="footer"/>
    <w:basedOn w:val="1"/>
    <w:qFormat/>
    <w:uiPriority w:val="0"/>
    <w:pPr>
      <w:tabs>
        <w:tab w:val="center" w:pos="4153"/>
        <w:tab w:val="right" w:pos="8306"/>
      </w:tabs>
      <w:snapToGrid w:val="0"/>
    </w:pPr>
    <w:rPr>
      <w:sz w:val="18"/>
      <w:szCs w:val="18"/>
    </w:rPr>
  </w:style>
  <w:style w:type="paragraph" w:styleId="12">
    <w:name w:val="header"/>
    <w:basedOn w:val="1"/>
    <w:link w:val="25"/>
    <w:qFormat/>
    <w:uiPriority w:val="0"/>
    <w:pPr>
      <w:pBdr>
        <w:bottom w:val="single" w:color="auto" w:sz="6" w:space="1"/>
      </w:pBdr>
      <w:tabs>
        <w:tab w:val="center" w:pos="4153"/>
        <w:tab w:val="right" w:pos="8306"/>
      </w:tabs>
      <w:snapToGrid w:val="0"/>
      <w:jc w:val="center"/>
    </w:pPr>
    <w:rPr>
      <w:rFonts w:cs="Times New Roman"/>
      <w:sz w:val="18"/>
      <w:szCs w:val="18"/>
    </w:rPr>
  </w:style>
  <w:style w:type="paragraph" w:styleId="13">
    <w:name w:val="toc 1"/>
    <w:basedOn w:val="1"/>
    <w:next w:val="1"/>
    <w:qFormat/>
    <w:uiPriority w:val="39"/>
  </w:style>
  <w:style w:type="paragraph" w:styleId="14">
    <w:name w:val="Normal (Web)"/>
    <w:basedOn w:val="1"/>
    <w:qFormat/>
    <w:uiPriority w:val="0"/>
    <w:pPr>
      <w:spacing w:before="100" w:beforeAutospacing="1" w:after="100" w:afterAutospacing="1"/>
    </w:pPr>
  </w:style>
  <w:style w:type="character" w:styleId="16">
    <w:name w:val="Strong"/>
    <w:basedOn w:val="15"/>
    <w:qFormat/>
    <w:uiPriority w:val="0"/>
    <w:rPr>
      <w:b/>
      <w:bCs/>
    </w:rPr>
  </w:style>
  <w:style w:type="character" w:styleId="17">
    <w:name w:val="page number"/>
    <w:basedOn w:val="15"/>
    <w:qFormat/>
    <w:uiPriority w:val="0"/>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table" w:styleId="21">
    <w:name w:val="Table Grid"/>
    <w:basedOn w:val="20"/>
    <w:unhideWhenUsed/>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2">
    <w:name w:val="Char"/>
    <w:basedOn w:val="1"/>
    <w:qFormat/>
    <w:uiPriority w:val="0"/>
    <w:pPr>
      <w:widowControl w:val="0"/>
      <w:jc w:val="both"/>
    </w:pPr>
    <w:rPr>
      <w:rFonts w:ascii="Times New Roman" w:hAnsi="Times New Roman" w:eastAsia="仿宋_GB2312" w:cs="Times New Roman"/>
      <w:kern w:val="2"/>
      <w:sz w:val="28"/>
    </w:rPr>
  </w:style>
  <w:style w:type="character" w:customStyle="1" w:styleId="23">
    <w:name w:val="bulletintext1"/>
    <w:basedOn w:val="15"/>
    <w:qFormat/>
    <w:uiPriority w:val="0"/>
  </w:style>
  <w:style w:type="character" w:customStyle="1" w:styleId="24">
    <w:name w:val="hei16b1"/>
    <w:qFormat/>
    <w:uiPriority w:val="0"/>
    <w:rPr>
      <w:rFonts w:hint="default" w:ascii="Arial" w:hAnsi="Arial" w:cs="Arial"/>
      <w:b/>
      <w:bCs/>
      <w:color w:val="000000"/>
      <w:sz w:val="24"/>
      <w:szCs w:val="24"/>
    </w:rPr>
  </w:style>
  <w:style w:type="character" w:customStyle="1" w:styleId="25">
    <w:name w:val="页眉 Char"/>
    <w:link w:val="12"/>
    <w:qFormat/>
    <w:uiPriority w:val="0"/>
    <w:rPr>
      <w:rFonts w:ascii="宋体" w:hAnsi="宋体" w:cs="宋体"/>
      <w:sz w:val="18"/>
      <w:szCs w:val="18"/>
    </w:rPr>
  </w:style>
  <w:style w:type="character" w:customStyle="1" w:styleId="26">
    <w:name w:val="批注文字 Char"/>
    <w:link w:val="4"/>
    <w:qFormat/>
    <w:uiPriority w:val="0"/>
    <w:rPr>
      <w:rFonts w:ascii="宋体" w:hAnsi="宋体" w:cs="宋体"/>
      <w:sz w:val="24"/>
      <w:szCs w:val="24"/>
    </w:rPr>
  </w:style>
  <w:style w:type="character" w:customStyle="1" w:styleId="27">
    <w:name w:val="批注主题 Char"/>
    <w:link w:val="3"/>
    <w:qFormat/>
    <w:uiPriority w:val="0"/>
    <w:rPr>
      <w:rFonts w:ascii="宋体" w:hAnsi="宋体" w:cs="宋体"/>
      <w:b/>
      <w:bCs/>
      <w:sz w:val="24"/>
      <w:szCs w:val="24"/>
    </w:rPr>
  </w:style>
  <w:style w:type="character" w:customStyle="1" w:styleId="28">
    <w:name w:val="正文文本缩进 Char"/>
    <w:link w:val="5"/>
    <w:qFormat/>
    <w:uiPriority w:val="0"/>
    <w:rPr>
      <w:rFonts w:ascii="宋体" w:hAnsi="宋体"/>
      <w:kern w:val="2"/>
      <w:sz w:val="28"/>
      <w:szCs w:val="24"/>
    </w:rPr>
  </w:style>
  <w:style w:type="character" w:customStyle="1" w:styleId="29">
    <w:name w:val="正文文本缩进 2 Char"/>
    <w:link w:val="9"/>
    <w:qFormat/>
    <w:uiPriority w:val="0"/>
    <w:rPr>
      <w:rFonts w:ascii="宋体" w:hAnsi="宋体"/>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2FAFC4-1BDA-435F-B151-913309F489D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426</Words>
  <Characters>2429</Characters>
  <Lines>20</Lines>
  <Paragraphs>5</Paragraphs>
  <TotalTime>5</TotalTime>
  <ScaleCrop>false</ScaleCrop>
  <LinksUpToDate>false</LinksUpToDate>
  <CharactersWithSpaces>2850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2013-12-25T03:37:00Z</dcterms:created>
  <dc:creator>xie</dc:creator>
  <cp:lastModifiedBy>风渡幽宇</cp:lastModifiedBy>
  <cp:lastPrinted>2013-12-26T05:46:00Z</cp:lastPrinted>
  <dcterms:modified xsi:type="dcterms:W3CDTF">2018-10-10T09:05:41Z</dcterms:modified>
  <dc:title>询价通知书</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