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7"/>
        <w:tblW w:w="10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
        <w:gridCol w:w="2920"/>
        <w:gridCol w:w="6720"/>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3" w:hRule="atLeast"/>
        </w:trPr>
        <w:tc>
          <w:tcPr>
            <w:tcW w:w="120" w:type="dxa"/>
            <w:vAlign w:val="bottom"/>
          </w:tcPr>
          <w:p>
            <w:pPr>
              <w:spacing w:line="0" w:lineRule="atLeast"/>
              <w:rPr>
                <w:rFonts w:ascii="Times New Roman" w:hAnsi="Times New Roman" w:eastAsia="Times New Roman"/>
                <w:sz w:val="24"/>
              </w:rPr>
            </w:pPr>
            <w:bookmarkStart w:id="0" w:name="page2"/>
            <w:bookmarkEnd w:id="0"/>
            <w:r>
              <w:rPr>
                <w:rFonts w:ascii="宋体" w:hAnsi="宋体" w:eastAsia="宋体"/>
                <w:sz w:val="18"/>
              </w:rPr>
              <w:drawing>
                <wp:anchor distT="0" distB="0" distL="114300" distR="114300" simplePos="0" relativeHeight="251666432" behindDoc="1" locked="0" layoutInCell="0" allowOverlap="1">
                  <wp:simplePos x="0" y="0"/>
                  <wp:positionH relativeFrom="page">
                    <wp:posOffset>1179830</wp:posOffset>
                  </wp:positionH>
                  <wp:positionV relativeFrom="page">
                    <wp:posOffset>541020</wp:posOffset>
                  </wp:positionV>
                  <wp:extent cx="1033145" cy="754380"/>
                  <wp:effectExtent l="0" t="0" r="14605" b="7620"/>
                  <wp:wrapNone/>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4">
                            <a:clrChange>
                              <a:clrFrom>
                                <a:srgbClr val="FFFFFF"/>
                              </a:clrFrom>
                              <a:clrTo>
                                <a:srgbClr val="FFFFFF">
                                  <a:alpha val="0"/>
                                </a:srgbClr>
                              </a:clrTo>
                            </a:clrChange>
                          </a:blip>
                          <a:stretch>
                            <a:fillRect/>
                          </a:stretch>
                        </pic:blipFill>
                        <pic:spPr>
                          <a:xfrm>
                            <a:off x="0" y="0"/>
                            <a:ext cx="1033145" cy="754380"/>
                          </a:xfrm>
                          <a:prstGeom prst="rect">
                            <a:avLst/>
                          </a:prstGeom>
                          <a:noFill/>
                          <a:ln w="9525">
                            <a:noFill/>
                          </a:ln>
                        </pic:spPr>
                      </pic:pic>
                    </a:graphicData>
                  </a:graphic>
                </wp:anchor>
              </w:drawing>
            </w:r>
          </w:p>
        </w:tc>
        <w:tc>
          <w:tcPr>
            <w:tcW w:w="2920" w:type="dxa"/>
            <w:vAlign w:val="bottom"/>
          </w:tcPr>
          <w:p>
            <w:pPr>
              <w:spacing w:line="0" w:lineRule="atLeast"/>
              <w:rPr>
                <w:rFonts w:ascii="Times New Roman" w:hAnsi="Times New Roman" w:eastAsia="Times New Roman"/>
                <w:sz w:val="24"/>
              </w:rPr>
            </w:pPr>
          </w:p>
        </w:tc>
        <w:tc>
          <w:tcPr>
            <w:tcW w:w="6960" w:type="dxa"/>
            <w:gridSpan w:val="2"/>
            <w:vAlign w:val="bottom"/>
          </w:tcPr>
          <w:p>
            <w:pPr>
              <w:spacing w:line="0" w:lineRule="atLeast"/>
              <w:ind w:left="360"/>
              <w:rPr>
                <w:rFonts w:ascii="Times New Roman" w:hAnsi="Times New Roman" w:eastAsia="Times New Roman"/>
              </w:rPr>
            </w:pPr>
            <w:r>
              <w:rPr>
                <w:rFonts w:ascii="黑体" w:hAnsi="黑体" w:eastAsia="黑体"/>
                <w:sz w:val="28"/>
              </w:rPr>
              <w:t>——</w:t>
            </w:r>
            <w:r>
              <w:rPr>
                <w:rFonts w:ascii="宋体" w:hAnsi="宋体" w:eastAsia="宋体"/>
              </w:rPr>
              <w:t>巩义市予华仪器有限公司是唯一一家在工商总局注册</w:t>
            </w:r>
            <w:r>
              <w:rPr>
                <w:rFonts w:ascii="Times New Roman" w:hAnsi="Times New Roman" w:eastAsia="Times New Roman"/>
              </w:rPr>
              <w:t>“</w:t>
            </w:r>
            <w:r>
              <w:rPr>
                <w:rFonts w:ascii="宋体" w:hAnsi="宋体" w:eastAsia="宋体"/>
              </w:rPr>
              <w:t>予华仪器</w:t>
            </w:r>
            <w:r>
              <w:rPr>
                <w:rFonts w:ascii="Times New Roman" w:hAnsi="Times New Roman" w:eastAsia="Times New Roma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atLeast"/>
        </w:trPr>
        <w:tc>
          <w:tcPr>
            <w:tcW w:w="120" w:type="dxa"/>
            <w:vAlign w:val="bottom"/>
          </w:tcPr>
          <w:p>
            <w:pPr>
              <w:spacing w:line="0" w:lineRule="atLeast"/>
              <w:rPr>
                <w:rFonts w:ascii="Times New Roman" w:hAnsi="Times New Roman" w:eastAsia="Times New Roman"/>
                <w:sz w:val="22"/>
              </w:rPr>
            </w:pPr>
          </w:p>
        </w:tc>
        <w:tc>
          <w:tcPr>
            <w:tcW w:w="2920" w:type="dxa"/>
            <w:vAlign w:val="bottom"/>
          </w:tcPr>
          <w:p>
            <w:pPr>
              <w:spacing w:line="0" w:lineRule="atLeast"/>
              <w:rPr>
                <w:rFonts w:ascii="Times New Roman" w:hAnsi="Times New Roman" w:eastAsia="Times New Roman"/>
                <w:sz w:val="22"/>
              </w:rPr>
            </w:pPr>
          </w:p>
        </w:tc>
        <w:tc>
          <w:tcPr>
            <w:tcW w:w="6960" w:type="dxa"/>
            <w:gridSpan w:val="2"/>
            <w:vAlign w:val="bottom"/>
          </w:tcPr>
          <w:p>
            <w:pPr>
              <w:spacing w:line="239" w:lineRule="exact"/>
              <w:ind w:left="360"/>
              <w:rPr>
                <w:rFonts w:ascii="宋体" w:hAnsi="宋体" w:eastAsia="宋体"/>
                <w:sz w:val="21"/>
              </w:rPr>
            </w:pPr>
            <w:r>
              <w:rPr>
                <w:rFonts w:ascii="宋体" w:hAnsi="宋体" w:eastAsia="宋体"/>
                <w:sz w:val="21"/>
              </w:rPr>
              <w:t>品牌的企业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 w:type="dxa"/>
            <w:vAlign w:val="bottom"/>
          </w:tcPr>
          <w:p>
            <w:pPr>
              <w:spacing w:line="0" w:lineRule="atLeast"/>
              <w:rPr>
                <w:rFonts w:ascii="Times New Roman" w:hAnsi="Times New Roman" w:eastAsia="Times New Roman"/>
                <w:sz w:val="24"/>
              </w:rPr>
            </w:pPr>
          </w:p>
        </w:tc>
        <w:tc>
          <w:tcPr>
            <w:tcW w:w="2920" w:type="dxa"/>
            <w:vAlign w:val="bottom"/>
          </w:tcPr>
          <w:p>
            <w:pPr>
              <w:spacing w:line="0" w:lineRule="atLeast"/>
              <w:rPr>
                <w:rFonts w:ascii="Times New Roman" w:hAnsi="Times New Roman" w:eastAsia="Times New Roman"/>
                <w:sz w:val="24"/>
              </w:rPr>
            </w:pPr>
          </w:p>
        </w:tc>
        <w:tc>
          <w:tcPr>
            <w:tcW w:w="6960" w:type="dxa"/>
            <w:gridSpan w:val="2"/>
            <w:vAlign w:val="bottom"/>
          </w:tcPr>
          <w:p>
            <w:pPr>
              <w:spacing w:line="0" w:lineRule="atLeast"/>
              <w:ind w:firstLine="321" w:firstLineChars="100"/>
              <w:rPr>
                <w:rFonts w:ascii="宋体" w:hAnsi="宋体" w:eastAsia="宋体"/>
                <w:b/>
                <w:sz w:val="32"/>
              </w:rPr>
            </w:pPr>
            <w:r>
              <w:rPr>
                <w:rFonts w:ascii="宋体" w:hAnsi="宋体" w:eastAsia="宋体"/>
                <w:b/>
                <w:sz w:val="32"/>
              </w:rPr>
              <w:t>巩义市予华仪器有限责任公司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4" w:hRule="atLeast"/>
        </w:trPr>
        <w:tc>
          <w:tcPr>
            <w:tcW w:w="3040" w:type="dxa"/>
            <w:gridSpan w:val="2"/>
            <w:vAlign w:val="bottom"/>
          </w:tcPr>
          <w:p>
            <w:pPr>
              <w:spacing w:line="0" w:lineRule="atLeast"/>
              <w:ind w:firstLine="210" w:firstLineChars="100"/>
              <w:rPr>
                <w:rFonts w:hint="eastAsia" w:ascii="Arial" w:hAnsi="Arial" w:eastAsia="宋体"/>
                <w:sz w:val="21"/>
                <w:lang w:val="en-US" w:eastAsia="zh-CN"/>
              </w:rPr>
            </w:pPr>
            <w:r>
              <w:rPr>
                <w:rFonts w:hint="eastAsia" w:ascii="Arial" w:hAnsi="Arial" w:eastAsia="宋体"/>
                <w:sz w:val="21"/>
                <w:lang w:val="en-US" w:eastAsia="zh-CN"/>
              </w:rPr>
              <w:t>手机：15517590858</w:t>
            </w:r>
          </w:p>
        </w:tc>
        <w:tc>
          <w:tcPr>
            <w:tcW w:w="6960" w:type="dxa"/>
            <w:gridSpan w:val="2"/>
            <w:vAlign w:val="bottom"/>
          </w:tcPr>
          <w:p>
            <w:pPr>
              <w:spacing w:line="239" w:lineRule="exact"/>
              <w:ind w:left="360"/>
              <w:rPr>
                <w:rFonts w:ascii="黑体" w:hAnsi="黑体" w:eastAsia="黑体"/>
                <w:sz w:val="21"/>
              </w:rPr>
            </w:pPr>
            <w:r>
              <w:rPr>
                <w:rFonts w:ascii="黑体" w:hAnsi="黑体" w:eastAsia="黑体"/>
                <w:sz w:val="21"/>
              </w:rPr>
              <w:t>地址:河南省巩义市英峪工业区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3040" w:type="dxa"/>
            <w:gridSpan w:val="2"/>
            <w:vAlign w:val="bottom"/>
          </w:tcPr>
          <w:p>
            <w:pPr>
              <w:spacing w:line="0" w:lineRule="atLeast"/>
              <w:ind w:left="120"/>
              <w:rPr>
                <w:rFonts w:ascii="Arial" w:hAnsi="Arial" w:eastAsia="Arial"/>
                <w:sz w:val="21"/>
              </w:rPr>
            </w:pPr>
            <w:r>
              <w:rPr>
                <w:rFonts w:ascii="黑体" w:hAnsi="黑体" w:eastAsia="黑体"/>
                <w:sz w:val="21"/>
              </w:rPr>
              <w:t>邮箱：</w:t>
            </w:r>
            <w:r>
              <w:rPr>
                <w:rFonts w:hint="eastAsia" w:ascii="黑体" w:hAnsi="黑体" w:eastAsia="黑体"/>
                <w:sz w:val="21"/>
                <w:lang w:val="en-US" w:eastAsia="zh-CN"/>
              </w:rPr>
              <w:t>1171673898</w:t>
            </w:r>
            <w:r>
              <w:rPr>
                <w:rFonts w:ascii="Arial" w:hAnsi="Arial" w:eastAsia="Arial"/>
                <w:sz w:val="21"/>
              </w:rPr>
              <w:t>@qq.com</w:t>
            </w:r>
          </w:p>
        </w:tc>
        <w:tc>
          <w:tcPr>
            <w:tcW w:w="6960" w:type="dxa"/>
            <w:gridSpan w:val="2"/>
            <w:vAlign w:val="bottom"/>
          </w:tcPr>
          <w:p>
            <w:pPr>
              <w:spacing w:line="239" w:lineRule="exact"/>
              <w:ind w:left="360"/>
              <w:rPr>
                <w:rFonts w:ascii="黑体" w:hAnsi="黑体" w:eastAsia="黑体"/>
                <w:sz w:val="21"/>
              </w:rPr>
            </w:pPr>
            <w:r>
              <w:rPr>
                <w:rFonts w:ascii="黑体" w:hAnsi="黑体" w:eastAsia="黑体"/>
                <w:sz w:val="21"/>
              </w:rPr>
              <w:t>电话：0371-850</w:t>
            </w:r>
            <w:r>
              <w:rPr>
                <w:rFonts w:hint="eastAsia" w:ascii="黑体" w:hAnsi="黑体" w:eastAsia="黑体"/>
                <w:sz w:val="21"/>
                <w:lang w:val="en-US" w:eastAsia="zh-CN"/>
              </w:rPr>
              <w:t>20168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3040" w:type="dxa"/>
            <w:gridSpan w:val="2"/>
            <w:vAlign w:val="bottom"/>
          </w:tcPr>
          <w:p>
            <w:pPr>
              <w:spacing w:line="0" w:lineRule="atLeast"/>
              <w:ind w:left="120"/>
              <w:rPr>
                <w:rFonts w:ascii="Arial" w:hAnsi="Arial" w:eastAsia="Arial"/>
                <w:b/>
                <w:sz w:val="21"/>
              </w:rPr>
            </w:pPr>
            <w:r>
              <w:rPr>
                <w:rFonts w:ascii="黑体" w:hAnsi="黑体" w:eastAsia="黑体"/>
                <w:sz w:val="21"/>
              </w:rPr>
              <w:t xml:space="preserve">商务 </w:t>
            </w:r>
            <w:r>
              <w:rPr>
                <w:rFonts w:ascii="Arial" w:hAnsi="Arial" w:eastAsia="Arial"/>
                <w:b/>
                <w:sz w:val="21"/>
              </w:rPr>
              <w:t>QQ</w:t>
            </w:r>
            <w:r>
              <w:rPr>
                <w:rFonts w:ascii="黑体" w:hAnsi="黑体" w:eastAsia="黑体"/>
                <w:b/>
                <w:sz w:val="21"/>
              </w:rPr>
              <w:t>：</w:t>
            </w:r>
            <w:r>
              <w:rPr>
                <w:rFonts w:hint="eastAsia" w:ascii="Arial" w:hAnsi="Arial" w:eastAsia="宋体"/>
                <w:b/>
                <w:sz w:val="21"/>
                <w:lang w:val="en-US" w:eastAsia="zh-CN"/>
              </w:rPr>
              <w:t>1171673898</w:t>
            </w:r>
          </w:p>
        </w:tc>
        <w:tc>
          <w:tcPr>
            <w:tcW w:w="6960" w:type="dxa"/>
            <w:gridSpan w:val="2"/>
            <w:vAlign w:val="bottom"/>
          </w:tcPr>
          <w:p>
            <w:pPr>
              <w:spacing w:line="239" w:lineRule="exact"/>
              <w:ind w:left="360"/>
              <w:rPr>
                <w:rFonts w:ascii="黑体" w:hAnsi="黑体" w:eastAsia="黑体"/>
                <w:sz w:val="21"/>
              </w:rPr>
            </w:pPr>
            <w:r>
              <w:rPr>
                <w:rFonts w:ascii="黑体" w:hAnsi="黑体" w:eastAsia="黑体"/>
                <w:sz w:val="21"/>
              </w:rPr>
              <w:t>传真：0371-</w:t>
            </w:r>
            <w:r>
              <w:rPr>
                <w:rFonts w:hint="eastAsia" w:ascii="黑体" w:hAnsi="黑体" w:eastAsia="黑体"/>
                <w:sz w:val="21"/>
                <w:lang w:val="en-US" w:eastAsia="zh-CN"/>
              </w:rPr>
              <w:t>85020168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20" w:type="dxa"/>
            <w:tcBorders>
              <w:bottom w:val="single" w:color="auto" w:sz="8" w:space="0"/>
            </w:tcBorders>
            <w:vAlign w:val="bottom"/>
          </w:tcPr>
          <w:p>
            <w:pPr>
              <w:spacing w:line="0" w:lineRule="atLeast"/>
              <w:rPr>
                <w:rFonts w:ascii="Times New Roman" w:hAnsi="Times New Roman" w:eastAsia="Times New Roman"/>
                <w:sz w:val="5"/>
              </w:rPr>
            </w:pPr>
          </w:p>
        </w:tc>
        <w:tc>
          <w:tcPr>
            <w:tcW w:w="2920" w:type="dxa"/>
            <w:tcBorders>
              <w:bottom w:val="single" w:color="auto" w:sz="8" w:space="0"/>
            </w:tcBorders>
            <w:vAlign w:val="bottom"/>
          </w:tcPr>
          <w:p>
            <w:pPr>
              <w:spacing w:line="0" w:lineRule="atLeast"/>
              <w:rPr>
                <w:rFonts w:ascii="Times New Roman" w:hAnsi="Times New Roman" w:eastAsia="Times New Roman"/>
                <w:sz w:val="5"/>
              </w:rPr>
            </w:pPr>
          </w:p>
        </w:tc>
        <w:tc>
          <w:tcPr>
            <w:tcW w:w="6720" w:type="dxa"/>
            <w:tcBorders>
              <w:bottom w:val="single" w:color="auto" w:sz="8" w:space="0"/>
            </w:tcBorders>
            <w:vAlign w:val="bottom"/>
          </w:tcPr>
          <w:p>
            <w:pPr>
              <w:spacing w:line="0" w:lineRule="atLeast"/>
              <w:rPr>
                <w:rFonts w:ascii="Times New Roman" w:hAnsi="Times New Roman" w:eastAsia="Times New Roman"/>
                <w:sz w:val="5"/>
              </w:rPr>
            </w:pPr>
          </w:p>
        </w:tc>
        <w:tc>
          <w:tcPr>
            <w:tcW w:w="240" w:type="dxa"/>
            <w:tcBorders>
              <w:bottom w:val="single" w:color="auto" w:sz="8" w:space="0"/>
            </w:tcBorders>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 w:hRule="atLeast"/>
        </w:trPr>
        <w:tc>
          <w:tcPr>
            <w:tcW w:w="120" w:type="dxa"/>
            <w:tcBorders>
              <w:bottom w:val="single" w:color="auto" w:sz="8" w:space="0"/>
            </w:tcBorders>
            <w:vAlign w:val="bottom"/>
          </w:tcPr>
          <w:p>
            <w:pPr>
              <w:spacing w:line="0" w:lineRule="atLeast"/>
              <w:rPr>
                <w:rFonts w:ascii="Times New Roman" w:hAnsi="Times New Roman" w:eastAsia="Times New Roman"/>
                <w:sz w:val="4"/>
              </w:rPr>
            </w:pPr>
          </w:p>
        </w:tc>
        <w:tc>
          <w:tcPr>
            <w:tcW w:w="2920" w:type="dxa"/>
            <w:tcBorders>
              <w:bottom w:val="single" w:color="auto" w:sz="8" w:space="0"/>
            </w:tcBorders>
            <w:vAlign w:val="bottom"/>
          </w:tcPr>
          <w:p>
            <w:pPr>
              <w:spacing w:line="0" w:lineRule="atLeast"/>
              <w:rPr>
                <w:rFonts w:ascii="Times New Roman" w:hAnsi="Times New Roman" w:eastAsia="Times New Roman"/>
                <w:sz w:val="4"/>
              </w:rPr>
            </w:pPr>
          </w:p>
        </w:tc>
        <w:tc>
          <w:tcPr>
            <w:tcW w:w="6720" w:type="dxa"/>
            <w:tcBorders>
              <w:bottom w:val="single" w:color="auto" w:sz="8" w:space="0"/>
            </w:tcBorders>
            <w:vAlign w:val="bottom"/>
          </w:tcPr>
          <w:p>
            <w:pPr>
              <w:spacing w:line="0" w:lineRule="atLeast"/>
              <w:rPr>
                <w:rFonts w:ascii="Times New Roman" w:hAnsi="Times New Roman" w:eastAsia="Times New Roman"/>
                <w:sz w:val="4"/>
              </w:rPr>
            </w:pPr>
          </w:p>
        </w:tc>
        <w:tc>
          <w:tcPr>
            <w:tcW w:w="240" w:type="dxa"/>
            <w:tcBorders>
              <w:bottom w:val="single" w:color="auto" w:sz="8" w:space="0"/>
            </w:tcBorders>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0" w:hRule="atLeast"/>
        </w:trPr>
        <w:tc>
          <w:tcPr>
            <w:tcW w:w="120" w:type="dxa"/>
            <w:vAlign w:val="bottom"/>
          </w:tcPr>
          <w:p>
            <w:pPr>
              <w:spacing w:line="0" w:lineRule="atLeast"/>
              <w:rPr>
                <w:rFonts w:ascii="Times New Roman" w:hAnsi="Times New Roman" w:eastAsia="Times New Roman"/>
                <w:sz w:val="24"/>
              </w:rPr>
            </w:pPr>
          </w:p>
        </w:tc>
        <w:tc>
          <w:tcPr>
            <w:tcW w:w="2920" w:type="dxa"/>
            <w:vAlign w:val="bottom"/>
          </w:tcPr>
          <w:p>
            <w:pPr>
              <w:spacing w:line="0" w:lineRule="atLeast"/>
              <w:rPr>
                <w:rFonts w:ascii="Times New Roman" w:hAnsi="Times New Roman" w:eastAsia="Times New Roman"/>
                <w:sz w:val="24"/>
              </w:rPr>
            </w:pPr>
            <w:bookmarkStart w:id="1" w:name="_GoBack"/>
            <w:bookmarkEnd w:id="1"/>
          </w:p>
        </w:tc>
        <w:tc>
          <w:tcPr>
            <w:tcW w:w="6960" w:type="dxa"/>
            <w:gridSpan w:val="2"/>
            <w:vAlign w:val="bottom"/>
          </w:tcPr>
          <w:p>
            <w:pPr>
              <w:spacing w:line="0" w:lineRule="atLeast"/>
              <w:ind w:left="260"/>
              <w:rPr>
                <w:rFonts w:ascii="楷体" w:hAnsi="楷体" w:eastAsia="楷体"/>
                <w:b/>
                <w:sz w:val="36"/>
              </w:rPr>
            </w:pPr>
            <w:r>
              <w:rPr>
                <w:rFonts w:ascii="楷体" w:hAnsi="楷体" w:eastAsia="楷体"/>
                <w:b/>
                <w:sz w:val="36"/>
              </w:rPr>
              <w:t>产品技术参数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trPr>
        <w:tc>
          <w:tcPr>
            <w:tcW w:w="120" w:type="dxa"/>
            <w:vAlign w:val="bottom"/>
          </w:tcPr>
          <w:p>
            <w:pPr>
              <w:spacing w:line="0" w:lineRule="atLeast"/>
              <w:rPr>
                <w:rFonts w:ascii="Times New Roman" w:hAnsi="Times New Roman" w:eastAsia="Times New Roman"/>
                <w:sz w:val="24"/>
              </w:rPr>
            </w:pPr>
          </w:p>
        </w:tc>
        <w:tc>
          <w:tcPr>
            <w:tcW w:w="2920" w:type="dxa"/>
            <w:tcBorders>
              <w:bottom w:val="single" w:color="auto" w:sz="8" w:space="0"/>
            </w:tcBorders>
            <w:vAlign w:val="bottom"/>
          </w:tcPr>
          <w:p>
            <w:pPr>
              <w:spacing w:line="0" w:lineRule="atLeast"/>
              <w:rPr>
                <w:rFonts w:ascii="Times New Roman" w:hAnsi="Times New Roman" w:eastAsia="Times New Roman"/>
                <w:sz w:val="24"/>
              </w:rPr>
            </w:pPr>
          </w:p>
        </w:tc>
        <w:tc>
          <w:tcPr>
            <w:tcW w:w="6720" w:type="dxa"/>
            <w:tcBorders>
              <w:bottom w:val="single" w:color="auto" w:sz="8" w:space="0"/>
            </w:tcBorders>
            <w:vAlign w:val="bottom"/>
          </w:tcPr>
          <w:p>
            <w:pPr>
              <w:spacing w:line="0" w:lineRule="atLeast"/>
              <w:rPr>
                <w:rFonts w:ascii="Times New Roman" w:hAnsi="Times New Roman" w:eastAsia="Times New Roman"/>
                <w:sz w:val="24"/>
              </w:rPr>
            </w:pPr>
          </w:p>
        </w:tc>
        <w:tc>
          <w:tcPr>
            <w:tcW w:w="240" w:type="dxa"/>
            <w:vAlign w:val="bottom"/>
          </w:tcPr>
          <w:p>
            <w:pPr>
              <w:spacing w:line="0" w:lineRule="atLeast"/>
              <w:rPr>
                <w:rFonts w:ascii="Times New Roman" w:hAnsi="Times New Roman" w:eastAsia="Times New Roman"/>
                <w:sz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jc w:val="center"/>
        <w:rPr>
          <w:rFonts w:ascii="Verdana" w:hAnsi="Verdana" w:cs="Verdana"/>
          <w:b w:val="0"/>
          <w:i w:val="0"/>
          <w:caps w:val="0"/>
          <w:color w:val="444444"/>
          <w:spacing w:val="0"/>
          <w:sz w:val="24"/>
          <w:szCs w:val="24"/>
        </w:rPr>
      </w:pPr>
      <w:r>
        <w:rPr>
          <w:rFonts w:hint="eastAsia"/>
          <w:lang w:val="en-US" w:eastAsia="zh-CN"/>
        </w:rPr>
        <w:t xml:space="preserve"> </w:t>
      </w:r>
      <w:r>
        <w:rPr>
          <w:rStyle w:val="6"/>
          <w:rFonts w:hint="default" w:ascii="Verdana" w:hAnsi="Verdana" w:cs="Verdana"/>
          <w:i w:val="0"/>
          <w:caps w:val="0"/>
          <w:color w:val="000000"/>
          <w:spacing w:val="0"/>
          <w:sz w:val="33"/>
          <w:szCs w:val="33"/>
          <w:shd w:val="clear" w:fill="FEFEFE"/>
        </w:rPr>
        <w:t>YSF标准型变频调速双层玻璃反应釜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jc w:val="center"/>
      </w:pPr>
      <w:r>
        <w:rPr>
          <w:rFonts w:hint="default" w:ascii="Verdana" w:hAnsi="Verdana" w:cs="Verdana"/>
          <w:b w:val="0"/>
          <w:i w:val="0"/>
          <w:caps w:val="0"/>
          <w:color w:val="444444"/>
          <w:spacing w:val="0"/>
          <w:sz w:val="24"/>
          <w:szCs w:val="24"/>
          <w:shd w:val="clear" w:fill="FEFEFE"/>
        </w:rPr>
        <w:t> </w:t>
      </w:r>
      <w:r>
        <w:drawing>
          <wp:inline distT="0" distB="0" distL="114300" distR="114300">
            <wp:extent cx="3475990" cy="3418840"/>
            <wp:effectExtent l="0" t="0" r="1016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3475990" cy="341884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jc w:val="center"/>
      </w:pPr>
      <w:r>
        <w:rPr>
          <w:rFonts w:hint="eastAsia" w:ascii="宋体" w:hAnsi="宋体" w:eastAsia="宋体" w:cs="宋体"/>
          <w:sz w:val="28"/>
          <w:szCs w:val="28"/>
        </w:rPr>
        <w:drawing>
          <wp:inline distT="0" distB="0" distL="114300" distR="114300">
            <wp:extent cx="3074035" cy="3701415"/>
            <wp:effectExtent l="0" t="0" r="12065" b="13335"/>
            <wp:docPr id="8" name="图片 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
                    <pic:cNvPicPr>
                      <a:picLocks noChangeAspect="1"/>
                    </pic:cNvPicPr>
                  </pic:nvPicPr>
                  <pic:blipFill>
                    <a:blip r:embed="rId6" cstate="print"/>
                    <a:stretch>
                      <a:fillRect/>
                    </a:stretch>
                  </pic:blipFill>
                  <pic:spPr>
                    <a:xfrm>
                      <a:off x="0" y="0"/>
                      <a:ext cx="3074035" cy="3701415"/>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right="0" w:firstLine="600" w:firstLineChars="200"/>
        <w:jc w:val="left"/>
        <w:rPr>
          <w:rFonts w:hint="eastAsia" w:ascii="Hiragino Sans GB" w:hAnsi="Hiragino Sans GB" w:eastAsia="Hiragino Sans GB" w:cs="Hiragino Sans GB"/>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该系列反应釜是我公司根据客户实际要求及标准生产的新型双层玻璃反应釜，其吸收了国际、国内同类产品的优点，同时又大胆创新，不仅使用方便（可一人方便移动、操作、清洗、拆卸），而且结构新颖实用，外形美观大方；诚为现代化学、精细化工、生物制药、新材料合成等实验及生产的理想设备。具体规格从1L到200L可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right="0" w:firstLine="600" w:firstLineChars="200"/>
        <w:jc w:val="left"/>
        <w:rPr>
          <w:rFonts w:hint="eastAsia" w:ascii="宋体" w:hAnsi="宋体" w:eastAsia="宋体" w:cs="宋体"/>
          <w:b w:val="0"/>
          <w:i w:val="0"/>
          <w:caps w:val="0"/>
          <w:color w:val="333333"/>
          <w:spacing w:val="0"/>
          <w:sz w:val="30"/>
          <w:szCs w:val="30"/>
          <w:shd w:val="clear" w:fill="FFFFFF"/>
        </w:rPr>
      </w:pPr>
      <w:r>
        <w:rPr>
          <w:rFonts w:hint="eastAsia" w:ascii="宋体" w:hAnsi="宋体" w:eastAsia="宋体" w:cs="宋体"/>
          <w:b w:val="0"/>
          <w:i w:val="0"/>
          <w:caps w:val="0"/>
          <w:color w:val="333333"/>
          <w:spacing w:val="0"/>
          <w:sz w:val="30"/>
          <w:szCs w:val="30"/>
          <w:shd w:val="clear" w:fill="FFFFFF"/>
        </w:rPr>
        <w:t>该系列反应釜工作原理：通过双层反应釜夹层，注入恒温的（高温或低温）热溶液或冷却液，对反应釜内的物料进行恒温加热或制冷，并且可以提供搅拌。物料在反应釜内进行反应，并能控制反应溶液的蒸发与回流，反应完毕，物料可从釜底的出料口放出，操作极为方便。是现代化学小样、石油化工、中样实验、生物制药及新材料合成的理想设备。</w:t>
      </w:r>
    </w:p>
    <w:p>
      <w:pPr>
        <w:rPr>
          <w:rFonts w:ascii="宋体" w:hAnsi="宋体" w:eastAsia="宋体" w:cs="宋体"/>
          <w:sz w:val="28"/>
          <w:szCs w:val="28"/>
          <w:shd w:val="clear" w:color="auto" w:fill="FFFFFF"/>
        </w:rPr>
      </w:pPr>
      <w:r>
        <w:rPr>
          <w:rFonts w:hint="default" w:ascii="Verdana" w:hAnsi="Verdana" w:cs="Verdana"/>
          <w:b w:val="0"/>
          <w:i w:val="0"/>
          <w:caps w:val="0"/>
          <w:color w:val="000000"/>
          <w:spacing w:val="0"/>
          <w:sz w:val="30"/>
          <w:szCs w:val="30"/>
          <w:shd w:val="clear" w:fill="FEFEFE"/>
        </w:rPr>
        <w:t> </w:t>
      </w:r>
    </w:p>
    <w:p>
      <w:pPr>
        <w:widowControl w:val="0"/>
        <w:tabs>
          <w:tab w:val="left" w:pos="312"/>
        </w:tabs>
        <w:adjustRightInd/>
        <w:snapToGrid/>
        <w:spacing w:after="0"/>
        <w:jc w:val="both"/>
        <w:rPr>
          <w:rFonts w:ascii="宋体" w:hAnsi="宋体" w:eastAsia="宋体" w:cs="宋体"/>
          <w:b/>
          <w:bCs/>
          <w:sz w:val="28"/>
          <w:szCs w:val="28"/>
        </w:rPr>
      </w:pPr>
      <w:r>
        <w:rPr>
          <w:rFonts w:hint="eastAsia" w:ascii="宋体" w:hAnsi="宋体" w:eastAsia="宋体" w:cs="宋体"/>
          <w:b/>
          <w:bCs/>
          <w:sz w:val="28"/>
          <w:szCs w:val="28"/>
        </w:rPr>
        <w:t>双层玻璃反应釜工作原理</w:t>
      </w:r>
    </w:p>
    <w:p>
      <w:pPr>
        <w:ind w:firstLine="843" w:firstLineChars="300"/>
        <w:rPr>
          <w:rFonts w:ascii="宋体" w:hAnsi="宋体" w:eastAsia="宋体" w:cs="宋体"/>
          <w:b/>
          <w:bCs/>
          <w:sz w:val="28"/>
          <w:szCs w:val="28"/>
          <w:shd w:val="clear" w:color="auto" w:fill="FFFFFF"/>
        </w:rPr>
      </w:pPr>
    </w:p>
    <w:p>
      <w:pPr>
        <w:ind w:firstLine="840" w:firstLineChars="3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玻璃反应釜内层放置反应溶媒可做搅拌反应，夹层通过冷热源200℃）；玻璃反应釜也可以做低温反应（最低温度可以达到－80℃）；玻璃反应釜可以抽真空，做负压反应。全透明的反应过程一目了然，是现代生物制药，精细化工，新材料合成的理想实验中试设备。</w:t>
      </w:r>
      <w:r>
        <w:rPr>
          <w:rFonts w:hint="eastAsia" w:ascii="宋体" w:hAnsi="宋体" w:eastAsia="宋体" w:cs="宋体"/>
          <w:sz w:val="28"/>
          <w:szCs w:val="28"/>
          <w:shd w:val="clear" w:color="auto" w:fill="FFFFFF"/>
        </w:rPr>
        <w:br w:type="textWrapping"/>
      </w:r>
      <w:r>
        <w:rPr>
          <w:rFonts w:hint="eastAsia" w:ascii="宋体" w:hAnsi="宋体" w:eastAsia="宋体" w:cs="宋体"/>
          <w:sz w:val="28"/>
          <w:szCs w:val="28"/>
          <w:shd w:val="clear" w:color="auto" w:fill="FFFFFF"/>
        </w:rPr>
        <w:t xml:space="preserve">    玻璃反应釜主要是利用其双层的玻璃特点，我们可以再中间的夹层放置反应物料（有点叫反应溶媒），通过在常压或者负压的情况下进行搅拌反应，玻璃反应釜通过双层反应釜夹层，注入恒温的（高温或低温）热溶液或冷却液，对反应釜内的物料进行恒温加热或制冷，并且可以提供搅拌。这样玻璃反应釜夹层里面的介质（比如：冷冻液、加热水或者加热油之类的）通过搅拌来做循环反应实现加热或者冷却作用。在现代的生化新材料合成实验中作为理想的设备而广泛采用。</w:t>
      </w:r>
    </w:p>
    <w:p>
      <w:pPr>
        <w:rPr>
          <w:rFonts w:ascii="宋体" w:hAnsi="宋体" w:eastAsia="宋体" w:cs="宋体"/>
          <w:b/>
          <w:bCs/>
          <w:sz w:val="28"/>
          <w:szCs w:val="28"/>
        </w:rPr>
      </w:pPr>
      <w:r>
        <w:rPr>
          <w:rFonts w:hint="eastAsia" w:ascii="宋体" w:hAnsi="宋体" w:eastAsia="宋体" w:cs="宋体"/>
          <w:b/>
          <w:bCs/>
          <w:sz w:val="28"/>
          <w:szCs w:val="28"/>
        </w:rPr>
        <w:t>双层玻璃反应釜的特点</w:t>
      </w:r>
    </w:p>
    <w:p>
      <w:pPr>
        <w:ind w:firstLine="560" w:firstLineChars="200"/>
        <w:rPr>
          <w:rFonts w:ascii="宋体" w:hAnsi="宋体" w:eastAsia="宋体" w:cs="宋体"/>
          <w:bCs/>
          <w:sz w:val="28"/>
          <w:szCs w:val="28"/>
        </w:rPr>
      </w:pPr>
      <w:r>
        <w:rPr>
          <w:rStyle w:val="6"/>
          <w:rFonts w:hint="eastAsia" w:ascii="宋体" w:hAnsi="宋体" w:eastAsia="宋体" w:cs="宋体"/>
          <w:b w:val="0"/>
          <w:bCs/>
          <w:sz w:val="28"/>
          <w:szCs w:val="28"/>
          <w:shd w:val="clear" w:color="auto" w:fill="FFFFFF"/>
        </w:rPr>
        <w:t>1）.本产品是国内外我们公司更先进的，更理想实用，支撑架三重弹性设计，确保承担重负荷的反应操作，并兼容升位变换安全。</w:t>
      </w:r>
      <w:r>
        <w:rPr>
          <w:rFonts w:hint="eastAsia" w:ascii="宋体" w:hAnsi="宋体" w:eastAsia="宋体" w:cs="宋体"/>
          <w:bCs/>
          <w:sz w:val="28"/>
          <w:szCs w:val="28"/>
          <w:shd w:val="clear" w:color="auto" w:fill="FFFFFF"/>
        </w:rPr>
        <w:br w:type="textWrapping"/>
      </w:r>
      <w:r>
        <w:rPr>
          <w:rStyle w:val="6"/>
          <w:rFonts w:hint="eastAsia" w:ascii="宋体" w:hAnsi="宋体" w:eastAsia="宋体" w:cs="宋体"/>
          <w:b w:val="0"/>
          <w:bCs/>
          <w:sz w:val="28"/>
          <w:szCs w:val="28"/>
          <w:shd w:val="clear" w:color="auto" w:fill="FFFFFF"/>
        </w:rPr>
        <w:t>　　2).采用高硼硅玻璃材质（GG17），拥有优质的物理化学性能。</w:t>
      </w:r>
      <w:r>
        <w:rPr>
          <w:rFonts w:hint="eastAsia" w:ascii="宋体" w:hAnsi="宋体" w:eastAsia="宋体" w:cs="宋体"/>
          <w:bCs/>
          <w:sz w:val="28"/>
          <w:szCs w:val="28"/>
          <w:shd w:val="clear" w:color="auto" w:fill="FFFFFF"/>
        </w:rPr>
        <w:br w:type="textWrapping"/>
      </w:r>
      <w:r>
        <w:rPr>
          <w:rStyle w:val="6"/>
          <w:rFonts w:hint="eastAsia" w:ascii="宋体" w:hAnsi="宋体" w:eastAsia="宋体" w:cs="宋体"/>
          <w:b w:val="0"/>
          <w:bCs/>
          <w:sz w:val="28"/>
          <w:szCs w:val="28"/>
          <w:shd w:val="clear" w:color="auto" w:fill="FFFFFF"/>
        </w:rPr>
        <w:t>　　3).可在高温200℃至低温-80℃大温区使用。</w:t>
      </w:r>
      <w:r>
        <w:rPr>
          <w:rFonts w:hint="eastAsia" w:ascii="宋体" w:hAnsi="宋体" w:eastAsia="宋体" w:cs="宋体"/>
          <w:bCs/>
          <w:sz w:val="28"/>
          <w:szCs w:val="28"/>
          <w:shd w:val="clear" w:color="auto" w:fill="FFFFFF"/>
        </w:rPr>
        <w:br w:type="textWrapping"/>
      </w:r>
      <w:r>
        <w:rPr>
          <w:rStyle w:val="6"/>
          <w:rFonts w:hint="eastAsia" w:ascii="宋体" w:hAnsi="宋体" w:eastAsia="宋体" w:cs="宋体"/>
          <w:b w:val="0"/>
          <w:bCs/>
          <w:sz w:val="28"/>
          <w:szCs w:val="28"/>
          <w:shd w:val="clear" w:color="auto" w:fill="FFFFFF"/>
        </w:rPr>
        <w:t>　　4).支架表层喷涂特氟隆，具耐腐蚀，保持整机美观性和寿命使用性。（也可选择喷塑）。</w:t>
      </w:r>
      <w:r>
        <w:rPr>
          <w:rFonts w:hint="eastAsia" w:ascii="宋体" w:hAnsi="宋体" w:eastAsia="宋体" w:cs="宋体"/>
          <w:bCs/>
          <w:sz w:val="28"/>
          <w:szCs w:val="28"/>
          <w:shd w:val="clear" w:color="auto" w:fill="FFFFFF"/>
        </w:rPr>
        <w:br w:type="textWrapping"/>
      </w:r>
      <w:r>
        <w:rPr>
          <w:rStyle w:val="6"/>
          <w:rFonts w:hint="eastAsia" w:ascii="宋体" w:hAnsi="宋体" w:eastAsia="宋体" w:cs="宋体"/>
          <w:b w:val="0"/>
          <w:bCs/>
          <w:sz w:val="28"/>
          <w:szCs w:val="28"/>
          <w:shd w:val="clear" w:color="auto" w:fill="FFFFFF"/>
        </w:rPr>
        <w:t>　　5).先进变频调速，变频控制器，内部元件具有真空镀膜保护，耐腐蚀，可选择全防爆，安全可靠。</w:t>
      </w:r>
      <w:r>
        <w:rPr>
          <w:rFonts w:hint="eastAsia" w:ascii="宋体" w:hAnsi="宋体" w:eastAsia="宋体" w:cs="宋体"/>
          <w:bCs/>
          <w:sz w:val="28"/>
          <w:szCs w:val="28"/>
          <w:shd w:val="clear" w:color="auto" w:fill="FFFFFF"/>
        </w:rPr>
        <w:br w:type="textWrapping"/>
      </w:r>
      <w:r>
        <w:rPr>
          <w:rStyle w:val="6"/>
          <w:rFonts w:hint="eastAsia" w:ascii="宋体" w:hAnsi="宋体" w:eastAsia="宋体" w:cs="宋体"/>
          <w:b w:val="0"/>
          <w:bCs/>
          <w:sz w:val="28"/>
          <w:szCs w:val="28"/>
          <w:shd w:val="clear" w:color="auto" w:fill="FFFFFF"/>
        </w:rPr>
        <w:t>　　6).釜体有双层，在夹层中间用热源、冷却液为反应提供需要。三层釜体，第一层为真空夹层釜体做保温，第二夹层为反映提供热、冷的满足。全透明反应瓶，可使反映过程一目了然。</w:t>
      </w:r>
      <w:r>
        <w:rPr>
          <w:rFonts w:hint="eastAsia" w:ascii="宋体" w:hAnsi="宋体" w:eastAsia="宋体" w:cs="宋体"/>
          <w:bCs/>
          <w:sz w:val="28"/>
          <w:szCs w:val="28"/>
          <w:shd w:val="clear" w:color="auto" w:fill="FFFFFF"/>
        </w:rPr>
        <w:br w:type="textWrapping"/>
      </w:r>
      <w:r>
        <w:rPr>
          <w:rStyle w:val="6"/>
          <w:rFonts w:hint="eastAsia" w:ascii="宋体" w:hAnsi="宋体" w:eastAsia="宋体" w:cs="宋体"/>
          <w:b w:val="0"/>
          <w:bCs/>
          <w:sz w:val="28"/>
          <w:szCs w:val="28"/>
          <w:shd w:val="clear" w:color="auto" w:fill="FFFFFF"/>
        </w:rPr>
        <w:t>　　7).聚四氟乙烯（PTFE）组件密封，特殊设计，可保持市场同类产品的最佳真空度（-0.098mpa左右），放料阀门可放出浓液和微量固体料，国内领先。</w:t>
      </w:r>
      <w:r>
        <w:rPr>
          <w:rFonts w:hint="eastAsia" w:ascii="宋体" w:hAnsi="宋体" w:eastAsia="宋体" w:cs="宋体"/>
          <w:bCs/>
          <w:sz w:val="28"/>
          <w:szCs w:val="28"/>
          <w:shd w:val="clear" w:color="auto" w:fill="FFFFFF"/>
        </w:rPr>
        <w:br w:type="textWrapping"/>
      </w:r>
      <w:r>
        <w:rPr>
          <w:rStyle w:val="6"/>
          <w:rFonts w:hint="eastAsia" w:ascii="宋体" w:hAnsi="宋体" w:eastAsia="宋体" w:cs="宋体"/>
          <w:b w:val="0"/>
          <w:bCs/>
          <w:sz w:val="28"/>
          <w:szCs w:val="28"/>
          <w:shd w:val="clear" w:color="auto" w:fill="FFFFFF"/>
        </w:rPr>
        <w:t>　　8).夹套压力控制装置，为本公司对釜体保护的新技术，使工作更安全可靠。</w:t>
      </w:r>
      <w:r>
        <w:rPr>
          <w:rFonts w:hint="eastAsia" w:ascii="宋体" w:hAnsi="宋体" w:eastAsia="宋体" w:cs="宋体"/>
          <w:bCs/>
          <w:sz w:val="28"/>
          <w:szCs w:val="28"/>
          <w:shd w:val="clear" w:color="auto" w:fill="FFFFFF"/>
        </w:rPr>
        <w:br w:type="textWrapping"/>
      </w:r>
      <w:r>
        <w:rPr>
          <w:rStyle w:val="6"/>
          <w:rFonts w:hint="eastAsia" w:ascii="宋体" w:hAnsi="宋体" w:eastAsia="宋体" w:cs="宋体"/>
          <w:b w:val="0"/>
          <w:bCs/>
          <w:sz w:val="28"/>
          <w:szCs w:val="28"/>
          <w:shd w:val="clear" w:color="auto" w:fill="FFFFFF"/>
        </w:rPr>
        <w:t>　　9).釜腔和夹套设计为无死角，防腐蚀，无污染结构。</w:t>
      </w:r>
      <w:r>
        <w:rPr>
          <w:rFonts w:hint="eastAsia" w:ascii="宋体" w:hAnsi="宋体" w:eastAsia="宋体" w:cs="宋体"/>
          <w:bCs/>
          <w:sz w:val="28"/>
          <w:szCs w:val="28"/>
          <w:shd w:val="clear" w:color="auto" w:fill="FFFFFF"/>
        </w:rPr>
        <w:br w:type="textWrapping"/>
      </w:r>
      <w:r>
        <w:rPr>
          <w:rStyle w:val="6"/>
          <w:rFonts w:hint="eastAsia" w:ascii="宋体" w:hAnsi="宋体" w:eastAsia="宋体" w:cs="宋体"/>
          <w:b w:val="0"/>
          <w:bCs/>
          <w:sz w:val="28"/>
          <w:szCs w:val="28"/>
          <w:shd w:val="clear" w:color="auto" w:fill="FFFFFF"/>
        </w:rPr>
        <w:t>　　10).传热介质在反映结束后，能彻底排除，无积液。</w:t>
      </w:r>
    </w:p>
    <w:p>
      <w:pPr>
        <w:pStyle w:val="4"/>
        <w:widowControl/>
        <w:shd w:val="clear" w:color="auto" w:fill="FFFFFF"/>
        <w:spacing w:beforeAutospacing="0" w:afterAutospacing="0" w:line="360" w:lineRule="atLeast"/>
        <w:ind w:firstLine="420"/>
        <w:rPr>
          <w:rStyle w:val="6"/>
          <w:rFonts w:hint="eastAsia" w:ascii="宋体" w:hAnsi="宋体" w:eastAsia="宋体" w:cs="宋体"/>
          <w:b w:val="0"/>
          <w:bCs/>
          <w:sz w:val="28"/>
          <w:szCs w:val="28"/>
          <w:shd w:val="clear" w:color="auto" w:fill="FFFFFF"/>
        </w:rPr>
      </w:pPr>
      <w:r>
        <w:rPr>
          <w:rStyle w:val="6"/>
          <w:rFonts w:hint="eastAsia" w:ascii="宋体" w:hAnsi="宋体" w:eastAsia="宋体" w:cs="宋体"/>
          <w:b w:val="0"/>
          <w:bCs/>
          <w:sz w:val="28"/>
          <w:szCs w:val="28"/>
          <w:shd w:val="clear" w:color="auto" w:fill="FFFFFF"/>
        </w:rPr>
        <w:t>11).本产品整机结构科学，其美观、实用，国内领先。</w:t>
      </w:r>
    </w:p>
    <w:p>
      <w:pPr>
        <w:pStyle w:val="4"/>
        <w:widowControl/>
        <w:shd w:val="clear" w:color="auto" w:fill="FFFFFF"/>
        <w:spacing w:beforeAutospacing="0" w:afterAutospacing="0" w:line="360" w:lineRule="atLeast"/>
        <w:rPr>
          <w:rStyle w:val="6"/>
          <w:rFonts w:ascii="宋体" w:hAnsi="宋体" w:eastAsia="宋体" w:cs="宋体"/>
          <w:b w:val="0"/>
          <w:bCs/>
          <w:sz w:val="28"/>
          <w:szCs w:val="28"/>
          <w:shd w:val="clear" w:color="auto" w:fill="FFFFFF"/>
        </w:rPr>
      </w:pPr>
      <w:r>
        <w:rPr>
          <w:rStyle w:val="6"/>
          <w:rFonts w:hint="eastAsia" w:ascii="宋体" w:hAnsi="宋体" w:eastAsia="宋体" w:cs="宋体"/>
          <w:b/>
          <w:bCs w:val="0"/>
          <w:sz w:val="28"/>
          <w:szCs w:val="28"/>
          <w:shd w:val="clear" w:color="auto" w:fill="FFFFFF"/>
        </w:rPr>
        <w:t>双层玻璃反应釜技术</w:t>
      </w:r>
    </w:p>
    <w:tbl>
      <w:tblPr>
        <w:tblStyle w:val="7"/>
        <w:tblW w:w="9600"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81"/>
        <w:gridCol w:w="1410"/>
        <w:gridCol w:w="1410"/>
        <w:gridCol w:w="1410"/>
        <w:gridCol w:w="1410"/>
        <w:gridCol w:w="1410"/>
        <w:gridCol w:w="126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11" w:hRule="atLeast"/>
          <w:jc w:val="center"/>
        </w:trPr>
        <w:tc>
          <w:tcPr>
            <w:tcW w:w="1281"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型号：</w:t>
            </w:r>
          </w:p>
        </w:tc>
        <w:tc>
          <w:tcPr>
            <w:tcW w:w="141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YSF(EX)-10L </w:t>
            </w:r>
          </w:p>
        </w:tc>
        <w:tc>
          <w:tcPr>
            <w:tcW w:w="141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YSF(EX)-20L </w:t>
            </w:r>
          </w:p>
        </w:tc>
        <w:tc>
          <w:tcPr>
            <w:tcW w:w="141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YSF(EX)-30L </w:t>
            </w:r>
          </w:p>
        </w:tc>
        <w:tc>
          <w:tcPr>
            <w:tcW w:w="141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YSF(EX)-50L </w:t>
            </w:r>
          </w:p>
        </w:tc>
        <w:tc>
          <w:tcPr>
            <w:tcW w:w="141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YSF(EX)-80L </w:t>
            </w:r>
          </w:p>
        </w:tc>
        <w:tc>
          <w:tcPr>
            <w:tcW w:w="126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YSF(EX)-100L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11" w:hRule="atLeast"/>
          <w:jc w:val="center"/>
        </w:trPr>
        <w:tc>
          <w:tcPr>
            <w:tcW w:w="128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bCs/>
                <w:szCs w:val="21"/>
              </w:rPr>
            </w:pP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YSF-10L</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YSF-20L</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YSF-30L</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YSF-50L</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YSF-80L</w:t>
            </w:r>
          </w:p>
        </w:tc>
        <w:tc>
          <w:tcPr>
            <w:tcW w:w="1269"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YSF-100L</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23" w:hRule="atLeast"/>
          <w:jc w:val="center"/>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 功率：W</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60</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90</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180</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180</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370</w:t>
            </w:r>
          </w:p>
        </w:tc>
        <w:tc>
          <w:tcPr>
            <w:tcW w:w="1269"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370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47" w:hRule="atLeast"/>
          <w:jc w:val="center"/>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搅拌转速：R/min </w:t>
            </w:r>
          </w:p>
        </w:tc>
        <w:tc>
          <w:tcPr>
            <w:tcW w:w="8319"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0-650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347" w:hRule="atLeast"/>
          <w:jc w:val="center"/>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ordWrap w:val="0"/>
              <w:spacing w:line="420" w:lineRule="atLeast"/>
              <w:ind w:left="179" w:hanging="179"/>
              <w:jc w:val="center"/>
              <w:rPr>
                <w:rFonts w:ascii="宋体" w:hAnsi="宋体" w:eastAsia="宋体" w:cs="宋体"/>
                <w:bCs/>
                <w:szCs w:val="21"/>
              </w:rPr>
            </w:pPr>
            <w:r>
              <w:rPr>
                <w:rFonts w:hint="eastAsia" w:ascii="宋体" w:hAnsi="宋体" w:eastAsia="宋体" w:cs="宋体"/>
                <w:bCs/>
                <w:szCs w:val="21"/>
              </w:rPr>
              <w:t>最大扭矩：N/cm</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132</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200</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200</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273</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378</w:t>
            </w:r>
          </w:p>
        </w:tc>
        <w:tc>
          <w:tcPr>
            <w:tcW w:w="1269"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378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47" w:hRule="atLeast"/>
          <w:jc w:val="center"/>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ordWrap w:val="0"/>
              <w:spacing w:line="420" w:lineRule="atLeast"/>
              <w:ind w:left="181" w:hanging="181"/>
              <w:jc w:val="center"/>
              <w:rPr>
                <w:rFonts w:ascii="宋体" w:hAnsi="宋体" w:eastAsia="宋体" w:cs="宋体"/>
                <w:bCs/>
                <w:szCs w:val="21"/>
              </w:rPr>
            </w:pPr>
            <w:r>
              <w:rPr>
                <w:rFonts w:hint="eastAsia" w:ascii="宋体" w:hAnsi="宋体" w:eastAsia="宋体" w:cs="宋体"/>
                <w:bCs/>
                <w:szCs w:val="21"/>
              </w:rPr>
              <w:t>物料容积：</w:t>
            </w:r>
          </w:p>
          <w:p>
            <w:pPr>
              <w:wordWrap w:val="0"/>
              <w:spacing w:line="420" w:lineRule="atLeast"/>
              <w:ind w:left="181" w:hanging="181"/>
              <w:jc w:val="center"/>
              <w:rPr>
                <w:rFonts w:ascii="宋体" w:hAnsi="宋体" w:eastAsia="宋体" w:cs="宋体"/>
                <w:bCs/>
                <w:szCs w:val="21"/>
              </w:rPr>
            </w:pPr>
            <w:r>
              <w:rPr>
                <w:rFonts w:hint="eastAsia" w:ascii="宋体" w:hAnsi="宋体" w:eastAsia="宋体" w:cs="宋体"/>
                <w:bCs/>
                <w:szCs w:val="21"/>
              </w:rPr>
              <w:t>L</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10</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20</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30</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50</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80</w:t>
            </w:r>
          </w:p>
        </w:tc>
        <w:tc>
          <w:tcPr>
            <w:tcW w:w="1269"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52" w:hRule="atLeast"/>
          <w:jc w:val="center"/>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夹层容积：</w:t>
            </w:r>
          </w:p>
          <w:p>
            <w:pPr>
              <w:wordWrap w:val="0"/>
              <w:spacing w:line="420" w:lineRule="atLeast"/>
              <w:jc w:val="center"/>
              <w:rPr>
                <w:rFonts w:ascii="宋体" w:hAnsi="宋体" w:eastAsia="宋体" w:cs="宋体"/>
                <w:bCs/>
                <w:szCs w:val="21"/>
              </w:rPr>
            </w:pPr>
            <w:r>
              <w:rPr>
                <w:rFonts w:hint="eastAsia" w:ascii="宋体" w:hAnsi="宋体" w:eastAsia="宋体" w:cs="宋体"/>
                <w:bCs/>
                <w:szCs w:val="21"/>
              </w:rPr>
              <w:t>L</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3</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6</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10</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16</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24</w:t>
            </w:r>
          </w:p>
        </w:tc>
        <w:tc>
          <w:tcPr>
            <w:tcW w:w="1269"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11" w:hRule="atLeast"/>
          <w:jc w:val="center"/>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外型尺寸：mm</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ind w:left="-84" w:firstLine="92"/>
              <w:jc w:val="center"/>
              <w:rPr>
                <w:rFonts w:ascii="宋体" w:hAnsi="宋体" w:eastAsia="宋体" w:cs="宋体"/>
                <w:bCs/>
                <w:szCs w:val="21"/>
              </w:rPr>
            </w:pPr>
            <w:r>
              <w:rPr>
                <w:rFonts w:hint="eastAsia" w:ascii="宋体" w:hAnsi="宋体" w:eastAsia="宋体" w:cs="宋体"/>
                <w:bCs/>
                <w:szCs w:val="21"/>
              </w:rPr>
              <w:t>600×580×2000</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700×580×2100</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640×600×2280</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700×630×2500</w:t>
            </w:r>
          </w:p>
        </w:tc>
        <w:tc>
          <w:tcPr>
            <w:tcW w:w="1410"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720×630×2700</w:t>
            </w:r>
          </w:p>
        </w:tc>
        <w:tc>
          <w:tcPr>
            <w:tcW w:w="1269" w:type="dxa"/>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750×660×2750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63" w:hRule="atLeast"/>
          <w:jc w:val="center"/>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ordWrap w:val="0"/>
              <w:spacing w:line="420" w:lineRule="atLeast"/>
              <w:ind w:firstLine="271"/>
              <w:rPr>
                <w:rFonts w:ascii="宋体" w:hAnsi="宋体" w:eastAsia="宋体" w:cs="宋体"/>
                <w:bCs/>
                <w:szCs w:val="21"/>
              </w:rPr>
            </w:pPr>
            <w:r>
              <w:rPr>
                <w:rFonts w:hint="eastAsia" w:ascii="宋体" w:hAnsi="宋体" w:eastAsia="宋体" w:cs="宋体"/>
                <w:bCs/>
                <w:szCs w:val="21"/>
              </w:rPr>
              <w:t>电源</w:t>
            </w:r>
          </w:p>
        </w:tc>
        <w:tc>
          <w:tcPr>
            <w:tcW w:w="8319"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wordWrap w:val="0"/>
              <w:spacing w:line="420" w:lineRule="atLeast"/>
              <w:jc w:val="center"/>
              <w:rPr>
                <w:rFonts w:ascii="宋体" w:hAnsi="宋体" w:eastAsia="宋体" w:cs="宋体"/>
                <w:bCs/>
                <w:szCs w:val="21"/>
              </w:rPr>
            </w:pPr>
            <w:r>
              <w:rPr>
                <w:rFonts w:hint="eastAsia" w:ascii="宋体" w:hAnsi="宋体" w:eastAsia="宋体" w:cs="宋体"/>
                <w:bCs/>
                <w:szCs w:val="21"/>
              </w:rPr>
              <w:t>220V/50Hz</w:t>
            </w:r>
          </w:p>
        </w:tc>
      </w:tr>
    </w:tbl>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b/>
          <w:bCs/>
          <w:sz w:val="28"/>
          <w:szCs w:val="28"/>
        </w:rPr>
      </w:pPr>
      <w:r>
        <w:rPr>
          <w:rFonts w:hint="eastAsia" w:ascii="宋体" w:hAnsi="宋体" w:eastAsia="宋体" w:cs="宋体"/>
          <w:b/>
          <w:bCs/>
          <w:sz w:val="28"/>
          <w:szCs w:val="28"/>
        </w:rPr>
        <w:t>反应釜注意事项：</w:t>
      </w:r>
    </w:p>
    <w:p>
      <w:pPr>
        <w:rPr>
          <w:rFonts w:ascii="宋体" w:hAnsi="宋体" w:eastAsia="宋体" w:cs="宋体"/>
          <w:sz w:val="28"/>
          <w:szCs w:val="28"/>
        </w:rPr>
      </w:pPr>
      <w:r>
        <w:rPr>
          <w:rFonts w:hint="eastAsia" w:ascii="宋体" w:hAnsi="宋体" w:eastAsia="宋体" w:cs="宋体"/>
          <w:sz w:val="28"/>
          <w:szCs w:val="28"/>
        </w:rPr>
        <w:t>反应釜高温极限280℃时，四氟搅拌杆需定制</w:t>
      </w:r>
    </w:p>
    <w:p>
      <w:pPr>
        <w:rPr>
          <w:rFonts w:ascii="宋体" w:hAnsi="宋体" w:eastAsia="宋体" w:cs="宋体"/>
          <w:sz w:val="28"/>
          <w:szCs w:val="28"/>
        </w:rPr>
      </w:pPr>
      <w:r>
        <w:rPr>
          <w:rFonts w:hint="eastAsia" w:ascii="宋体" w:hAnsi="宋体" w:eastAsia="宋体" w:cs="宋体"/>
          <w:sz w:val="28"/>
          <w:szCs w:val="28"/>
        </w:rPr>
        <w:t>玻璃耐温极限：高温300℃    低温 -100℃</w:t>
      </w:r>
    </w:p>
    <w:p>
      <w:pPr>
        <w:rPr>
          <w:rFonts w:ascii="宋体" w:hAnsi="宋体" w:eastAsia="宋体" w:cs="宋体"/>
          <w:sz w:val="28"/>
          <w:szCs w:val="28"/>
        </w:rPr>
      </w:pPr>
      <w:r>
        <w:rPr>
          <w:rFonts w:hint="eastAsia" w:ascii="宋体" w:hAnsi="宋体" w:eastAsia="宋体" w:cs="宋体"/>
          <w:sz w:val="28"/>
          <w:szCs w:val="28"/>
        </w:rPr>
        <w:t xml:space="preserve">反应釜配高低温时，例: YSF-100L  -10℃—150℃  可配50L高低温 </w:t>
      </w:r>
    </w:p>
    <w:p>
      <w:pPr>
        <w:ind w:left="4480" w:hanging="4480" w:hangingChars="1600"/>
        <w:rPr>
          <w:rFonts w:ascii="宋体" w:hAnsi="宋体" w:eastAsia="宋体" w:cs="宋体"/>
          <w:sz w:val="28"/>
          <w:szCs w:val="28"/>
        </w:rPr>
      </w:pPr>
      <w:r>
        <w:rPr>
          <w:rFonts w:hint="eastAsia" w:ascii="宋体" w:hAnsi="宋体" w:eastAsia="宋体" w:cs="宋体"/>
          <w:sz w:val="28"/>
          <w:szCs w:val="28"/>
        </w:rPr>
        <w:t>反应釜配高低温时温差极限：</w:t>
      </w:r>
    </w:p>
    <w:p>
      <w:pPr>
        <w:ind w:left="4480" w:hanging="4480" w:hangingChars="1600"/>
        <w:rPr>
          <w:rFonts w:ascii="宋体" w:hAnsi="宋体" w:eastAsia="宋体" w:cs="宋体"/>
          <w:sz w:val="28"/>
          <w:szCs w:val="28"/>
        </w:rPr>
      </w:pPr>
      <w:r>
        <w:rPr>
          <w:rFonts w:hint="eastAsia" w:ascii="宋体" w:hAnsi="宋体" w:eastAsia="宋体" w:cs="宋体"/>
          <w:sz w:val="28"/>
          <w:szCs w:val="28"/>
        </w:rPr>
        <w:t>例 -80℃-50℃±（低温在-80℃时，拉高温时油温只能到50℃左右）</w:t>
      </w:r>
    </w:p>
    <w:p>
      <w:pPr>
        <w:ind w:left="4480" w:hanging="4480" w:hangingChars="1600"/>
        <w:rPr>
          <w:rFonts w:ascii="宋体" w:hAnsi="宋体" w:eastAsia="宋体" w:cs="宋体"/>
          <w:sz w:val="28"/>
          <w:szCs w:val="28"/>
        </w:rPr>
      </w:pPr>
      <w:r>
        <w:rPr>
          <w:rFonts w:hint="eastAsia" w:ascii="宋体" w:hAnsi="宋体" w:eastAsia="宋体" w:cs="宋体"/>
          <w:sz w:val="28"/>
          <w:szCs w:val="28"/>
        </w:rPr>
        <w:t xml:space="preserve">反应釜放料阀出厂标配一般为玻璃放料阀 </w:t>
      </w:r>
    </w:p>
    <w:p>
      <w:pPr>
        <w:ind w:left="4480" w:hanging="4480" w:hangingChars="1600"/>
        <w:rPr>
          <w:rFonts w:ascii="宋体" w:hAnsi="宋体" w:eastAsia="宋体" w:cs="宋体"/>
          <w:sz w:val="28"/>
          <w:szCs w:val="28"/>
        </w:rPr>
      </w:pPr>
      <w:r>
        <w:rPr>
          <w:rFonts w:hint="eastAsia" w:ascii="宋体" w:hAnsi="宋体" w:eastAsia="宋体" w:cs="宋体"/>
          <w:sz w:val="28"/>
          <w:szCs w:val="28"/>
        </w:rPr>
        <w:t>(如客户有要求，下单时需注明玻璃放料阀或四氟放料阀)</w:t>
      </w:r>
    </w:p>
    <w:p>
      <w:pPr>
        <w:rPr>
          <w:rFonts w:ascii="宋体" w:hAnsi="宋体" w:eastAsia="宋体" w:cs="宋体"/>
          <w:sz w:val="28"/>
          <w:szCs w:val="28"/>
        </w:rPr>
      </w:pPr>
    </w:p>
    <w:p>
      <w:pPr>
        <w:rPr>
          <w:rFonts w:ascii="宋体" w:hAnsi="宋体" w:eastAsia="宋体" w:cs="宋体"/>
          <w:sz w:val="28"/>
          <w:szCs w:val="28"/>
        </w:rPr>
      </w:pPr>
    </w:p>
    <w:tbl>
      <w:tblPr>
        <w:tblStyle w:val="8"/>
        <w:tblpPr w:leftFromText="180" w:rightFromText="180" w:vertAnchor="page" w:horzAnchor="page" w:tblpXSpec="center" w:tblpY="2923"/>
        <w:tblOverlap w:val="never"/>
        <w:tblW w:w="9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3795"/>
        <w:gridCol w:w="3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restart"/>
            <w:vAlign w:val="center"/>
          </w:tcPr>
          <w:p>
            <w:pPr>
              <w:widowControl w:val="0"/>
              <w:spacing w:after="0"/>
              <w:jc w:val="center"/>
              <w:rPr>
                <w:rFonts w:ascii="宋体" w:hAnsi="宋体" w:eastAsia="宋体" w:cs="宋体"/>
                <w:sz w:val="20"/>
                <w:szCs w:val="21"/>
              </w:rPr>
            </w:pPr>
          </w:p>
          <w:p>
            <w:pPr>
              <w:widowControl w:val="0"/>
              <w:spacing w:after="0"/>
              <w:jc w:val="center"/>
              <w:rPr>
                <w:rFonts w:ascii="宋体" w:hAnsi="宋体" w:eastAsia="宋体" w:cs="宋体"/>
                <w:sz w:val="20"/>
                <w:szCs w:val="21"/>
              </w:rPr>
            </w:pPr>
          </w:p>
          <w:p>
            <w:pPr>
              <w:widowControl w:val="0"/>
              <w:spacing w:after="0"/>
              <w:jc w:val="center"/>
              <w:rPr>
                <w:rFonts w:ascii="宋体" w:hAnsi="宋体" w:eastAsia="宋体" w:cs="宋体"/>
                <w:sz w:val="20"/>
                <w:szCs w:val="21"/>
              </w:rPr>
            </w:pPr>
          </w:p>
          <w:p>
            <w:pPr>
              <w:widowControl w:val="0"/>
              <w:spacing w:after="0"/>
              <w:jc w:val="center"/>
              <w:rPr>
                <w:rFonts w:ascii="宋体" w:hAnsi="宋体" w:eastAsia="宋体" w:cs="宋体"/>
                <w:sz w:val="20"/>
                <w:szCs w:val="21"/>
              </w:rPr>
            </w:pPr>
          </w:p>
          <w:p>
            <w:pPr>
              <w:widowControl w:val="0"/>
              <w:spacing w:after="0"/>
              <w:jc w:val="center"/>
              <w:rPr>
                <w:rFonts w:ascii="宋体" w:hAnsi="宋体" w:eastAsia="宋体" w:cs="宋体"/>
                <w:sz w:val="20"/>
                <w:szCs w:val="21"/>
              </w:rPr>
            </w:pPr>
          </w:p>
          <w:p>
            <w:pPr>
              <w:widowControl w:val="0"/>
              <w:spacing w:after="0"/>
              <w:jc w:val="center"/>
              <w:rPr>
                <w:rFonts w:ascii="宋体" w:hAnsi="宋体" w:eastAsia="宋体" w:cs="宋体"/>
                <w:sz w:val="20"/>
                <w:szCs w:val="21"/>
              </w:rPr>
            </w:pPr>
          </w:p>
          <w:p>
            <w:pPr>
              <w:widowControl w:val="0"/>
              <w:spacing w:after="0"/>
              <w:jc w:val="center"/>
              <w:rPr>
                <w:rFonts w:ascii="宋体" w:hAnsi="宋体" w:eastAsia="宋体" w:cs="宋体"/>
                <w:sz w:val="20"/>
                <w:szCs w:val="21"/>
              </w:rPr>
            </w:pPr>
            <w:r>
              <w:rPr>
                <w:rFonts w:hint="eastAsia" w:ascii="宋体" w:hAnsi="宋体" w:eastAsia="宋体" w:cs="宋体"/>
                <w:sz w:val="20"/>
                <w:szCs w:val="21"/>
              </w:rPr>
              <w:t>双层玻璃反应釜</w:t>
            </w:r>
          </w:p>
          <w:p>
            <w:pPr>
              <w:widowControl w:val="0"/>
              <w:spacing w:after="0"/>
              <w:ind w:firstLine="200" w:firstLineChars="10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液体加料口</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恒压漏斗</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温度计套管</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固体加料口</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搅拌口</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回流球口</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法兰口</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340#（可做265）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接收瓶上放气阀</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托瓶圈上的十字夹</w:t>
            </w:r>
          </w:p>
        </w:tc>
        <w:tc>
          <w:tcPr>
            <w:tcW w:w="3514" w:type="dxa"/>
            <w:vAlign w:val="center"/>
          </w:tcPr>
          <w:p>
            <w:pPr>
              <w:widowControl w:val="0"/>
              <w:spacing w:after="0"/>
              <w:jc w:val="center"/>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放料阀(10L-100L通用）</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法兰80# 内径60（四氟可定做，最大内径100# 法兰120#）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托瓶圈上的十字夹</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冷凝器上十字夹</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上（19*12中19*19下19*12）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回流头夹子</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冷凝连接回流球口径</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restart"/>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冷凝管</w:t>
            </w:r>
          </w:p>
          <w:p>
            <w:pPr>
              <w:widowControl w:val="0"/>
              <w:spacing w:after="0"/>
              <w:jc w:val="center"/>
              <w:rPr>
                <w:rFonts w:ascii="宋体" w:hAnsi="宋体" w:eastAsia="宋体" w:cs="宋体"/>
                <w:sz w:val="20"/>
                <w:szCs w:val="21"/>
              </w:rPr>
            </w:pPr>
            <w:r>
              <w:rPr>
                <w:rFonts w:hint="eastAsia" w:ascii="宋体" w:hAnsi="宋体" w:eastAsia="宋体" w:cs="宋体"/>
                <w:sz w:val="20"/>
                <w:szCs w:val="21"/>
              </w:rPr>
              <w:t>冷凝面积</w:t>
            </w: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100L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80L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50L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10L 20L 30L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restart"/>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回流球容积</w:t>
            </w: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150L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3L-5L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80-100L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50L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restart"/>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回流球</w:t>
            </w: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放气阀</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上口口径</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restart"/>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收集瓶容积</w:t>
            </w:r>
          </w:p>
        </w:tc>
        <w:tc>
          <w:tcPr>
            <w:tcW w:w="3795" w:type="dxa"/>
            <w:vAlign w:val="center"/>
          </w:tcPr>
          <w:p>
            <w:pPr>
              <w:widowControl w:val="0"/>
              <w:spacing w:after="0"/>
              <w:ind w:firstLine="400" w:firstLineChars="200"/>
              <w:jc w:val="center"/>
              <w:rPr>
                <w:rFonts w:ascii="宋体" w:hAnsi="宋体" w:eastAsia="宋体" w:cs="宋体"/>
                <w:sz w:val="20"/>
                <w:szCs w:val="21"/>
              </w:rPr>
            </w:pPr>
            <w:r>
              <w:rPr>
                <w:rFonts w:hint="eastAsia" w:ascii="宋体" w:hAnsi="宋体" w:eastAsia="宋体" w:cs="宋体"/>
                <w:sz w:val="20"/>
                <w:szCs w:val="21"/>
              </w:rPr>
              <w:t>YSF-100L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配5L收集瓶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50L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3L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20L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restart"/>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釜体玻璃厚度</w:t>
            </w: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50L以下</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50L 80L 100L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150L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2538"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玻璃配件厚度</w:t>
            </w: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10L-150L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4-5mm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restart"/>
            <w:vAlign w:val="center"/>
          </w:tcPr>
          <w:p>
            <w:pPr>
              <w:widowControl w:val="0"/>
              <w:spacing w:after="0"/>
              <w:jc w:val="center"/>
              <w:rPr>
                <w:rFonts w:ascii="宋体" w:hAnsi="宋体" w:eastAsia="宋体" w:cs="宋体"/>
                <w:sz w:val="20"/>
                <w:szCs w:val="21"/>
              </w:rPr>
            </w:pPr>
          </w:p>
          <w:p>
            <w:pPr>
              <w:widowControl w:val="0"/>
              <w:spacing w:after="0"/>
              <w:jc w:val="center"/>
              <w:rPr>
                <w:rFonts w:ascii="宋体" w:hAnsi="宋体" w:eastAsia="宋体" w:cs="宋体"/>
                <w:sz w:val="20"/>
                <w:szCs w:val="21"/>
              </w:rPr>
            </w:pPr>
            <w:r>
              <w:rPr>
                <w:rFonts w:hint="eastAsia" w:ascii="宋体" w:hAnsi="宋体" w:eastAsia="宋体" w:cs="宋体"/>
                <w:sz w:val="20"/>
                <w:szCs w:val="21"/>
              </w:rPr>
              <w:t>电机</w:t>
            </w: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1L-2L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40W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5L-30L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90W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ind w:firstLine="400" w:firstLineChars="20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50L以下</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EX 180W   普通200W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8" w:type="dxa"/>
            <w:vMerge w:val="continue"/>
            <w:vAlign w:val="center"/>
          </w:tcPr>
          <w:p>
            <w:pPr>
              <w:widowControl w:val="0"/>
              <w:spacing w:after="0"/>
              <w:jc w:val="center"/>
              <w:rPr>
                <w:rFonts w:ascii="宋体" w:hAnsi="宋体" w:eastAsia="宋体" w:cs="宋体"/>
                <w:sz w:val="20"/>
                <w:szCs w:val="21"/>
              </w:rPr>
            </w:pPr>
          </w:p>
        </w:tc>
        <w:tc>
          <w:tcPr>
            <w:tcW w:w="3795"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100L</w:t>
            </w:r>
          </w:p>
        </w:tc>
        <w:tc>
          <w:tcPr>
            <w:tcW w:w="3514" w:type="dxa"/>
            <w:vAlign w:val="center"/>
          </w:tcPr>
          <w:p>
            <w:pPr>
              <w:widowControl w:val="0"/>
              <w:spacing w:after="0"/>
              <w:jc w:val="center"/>
              <w:rPr>
                <w:rFonts w:ascii="宋体" w:hAnsi="宋体" w:eastAsia="宋体" w:cs="宋体"/>
                <w:sz w:val="20"/>
                <w:szCs w:val="21"/>
              </w:rPr>
            </w:pPr>
            <w:r>
              <w:rPr>
                <w:rFonts w:hint="eastAsia" w:ascii="宋体" w:hAnsi="宋体" w:eastAsia="宋体" w:cs="宋体"/>
                <w:sz w:val="20"/>
                <w:szCs w:val="21"/>
              </w:rPr>
              <w:t>EX 370W   普通200W</w:t>
            </w:r>
          </w:p>
        </w:tc>
      </w:tr>
    </w:tbl>
    <w:p>
      <w:pPr>
        <w:rPr>
          <w:rFonts w:ascii="宋体" w:hAnsi="宋体" w:eastAsia="宋体" w:cs="宋体"/>
          <w:sz w:val="28"/>
          <w:szCs w:val="28"/>
        </w:rPr>
      </w:pPr>
    </w:p>
    <w:p>
      <w:pPr>
        <w:widowControl w:val="0"/>
        <w:numPr>
          <w:numId w:val="0"/>
        </w:numPr>
        <w:adjustRightInd/>
        <w:snapToGrid/>
        <w:spacing w:after="0"/>
        <w:jc w:val="both"/>
        <w:rPr>
          <w:rFonts w:ascii="宋体" w:hAnsi="宋体" w:eastAsia="宋体" w:cs="宋体"/>
          <w:b/>
          <w:bCs/>
          <w:sz w:val="28"/>
          <w:szCs w:val="28"/>
        </w:rPr>
      </w:pPr>
      <w:r>
        <w:rPr>
          <w:rFonts w:hint="eastAsia" w:ascii="宋体" w:hAnsi="宋体" w:eastAsia="宋体" w:cs="宋体"/>
          <w:b/>
          <w:bCs/>
          <w:sz w:val="28"/>
          <w:szCs w:val="28"/>
        </w:rPr>
        <w:t>玻璃反应釜釜体相关参数</w:t>
      </w:r>
    </w:p>
    <w:p>
      <w:pPr>
        <w:spacing w:line="220" w:lineRule="atLeas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w:t>
      </w:r>
    </w:p>
    <w:p>
      <w:pPr>
        <w:tabs>
          <w:tab w:val="left" w:pos="6560"/>
        </w:tabs>
        <w:spacing w:line="0" w:lineRule="atLeast"/>
        <w:rPr>
          <w:rFonts w:hint="eastAsia" w:ascii="宋体" w:hAnsi="宋体" w:eastAsia="宋体"/>
          <w:sz w:val="18"/>
          <w:lang w:val="en-US" w:eastAsia="zh-CN"/>
        </w:rPr>
      </w:pPr>
    </w:p>
    <w:sectPr>
      <w:type w:val="continuous"/>
      <w:pgSz w:w="11900" w:h="16838"/>
      <w:pgMar w:top="872" w:right="1240" w:bottom="500" w:left="152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720"/>
  <w:hyphenationZone w:val="36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78"/>
    <w:rsid w:val="000B5190"/>
    <w:rsid w:val="00B02778"/>
    <w:rsid w:val="011E6427"/>
    <w:rsid w:val="014C3AF4"/>
    <w:rsid w:val="01D02953"/>
    <w:rsid w:val="02C84D56"/>
    <w:rsid w:val="02CC7E50"/>
    <w:rsid w:val="02FC327E"/>
    <w:rsid w:val="04284D14"/>
    <w:rsid w:val="04396F3B"/>
    <w:rsid w:val="04A8432A"/>
    <w:rsid w:val="05A36D43"/>
    <w:rsid w:val="06007336"/>
    <w:rsid w:val="07A170BC"/>
    <w:rsid w:val="07DB40CC"/>
    <w:rsid w:val="07FF7233"/>
    <w:rsid w:val="08510CE9"/>
    <w:rsid w:val="085C0A6C"/>
    <w:rsid w:val="08AA4929"/>
    <w:rsid w:val="09C82DA2"/>
    <w:rsid w:val="0AD752B3"/>
    <w:rsid w:val="0DF509B3"/>
    <w:rsid w:val="0F181242"/>
    <w:rsid w:val="0F6A4BA8"/>
    <w:rsid w:val="0FE31FEE"/>
    <w:rsid w:val="11345157"/>
    <w:rsid w:val="11D05DCC"/>
    <w:rsid w:val="11D76EEC"/>
    <w:rsid w:val="127877AC"/>
    <w:rsid w:val="135822E2"/>
    <w:rsid w:val="136850B3"/>
    <w:rsid w:val="13772817"/>
    <w:rsid w:val="147F067B"/>
    <w:rsid w:val="1572276F"/>
    <w:rsid w:val="15E25BAE"/>
    <w:rsid w:val="16B14A8F"/>
    <w:rsid w:val="17CA14F8"/>
    <w:rsid w:val="18B61885"/>
    <w:rsid w:val="18B6579B"/>
    <w:rsid w:val="18CA3339"/>
    <w:rsid w:val="1A0D2627"/>
    <w:rsid w:val="1A264DEA"/>
    <w:rsid w:val="1A666F21"/>
    <w:rsid w:val="1AED6233"/>
    <w:rsid w:val="1B7E6E7E"/>
    <w:rsid w:val="1C1E77E9"/>
    <w:rsid w:val="1D203A09"/>
    <w:rsid w:val="1E0928E4"/>
    <w:rsid w:val="1E332502"/>
    <w:rsid w:val="1E7E0154"/>
    <w:rsid w:val="1EB262C8"/>
    <w:rsid w:val="20582949"/>
    <w:rsid w:val="208A66F9"/>
    <w:rsid w:val="20B7256A"/>
    <w:rsid w:val="211C5C70"/>
    <w:rsid w:val="219727CF"/>
    <w:rsid w:val="21EF4AF6"/>
    <w:rsid w:val="22197613"/>
    <w:rsid w:val="22482A98"/>
    <w:rsid w:val="23812FC7"/>
    <w:rsid w:val="23F87A80"/>
    <w:rsid w:val="2434444E"/>
    <w:rsid w:val="25E66EA4"/>
    <w:rsid w:val="26623AF7"/>
    <w:rsid w:val="272A7A8A"/>
    <w:rsid w:val="27652DF1"/>
    <w:rsid w:val="28135E3C"/>
    <w:rsid w:val="29AF663B"/>
    <w:rsid w:val="2A000B11"/>
    <w:rsid w:val="2B002C4D"/>
    <w:rsid w:val="2D433D3E"/>
    <w:rsid w:val="2DF23CEE"/>
    <w:rsid w:val="2E2753E3"/>
    <w:rsid w:val="2FD82856"/>
    <w:rsid w:val="31305791"/>
    <w:rsid w:val="31E01D5F"/>
    <w:rsid w:val="33161D68"/>
    <w:rsid w:val="34161EE0"/>
    <w:rsid w:val="344500DE"/>
    <w:rsid w:val="344838A5"/>
    <w:rsid w:val="36092762"/>
    <w:rsid w:val="36E65980"/>
    <w:rsid w:val="373F46C3"/>
    <w:rsid w:val="37AA5840"/>
    <w:rsid w:val="383A39D8"/>
    <w:rsid w:val="396B319D"/>
    <w:rsid w:val="3B466CE4"/>
    <w:rsid w:val="3BEC066B"/>
    <w:rsid w:val="3C340EA5"/>
    <w:rsid w:val="3D103A3F"/>
    <w:rsid w:val="3D307765"/>
    <w:rsid w:val="3D677A2F"/>
    <w:rsid w:val="3D80598A"/>
    <w:rsid w:val="3D884A29"/>
    <w:rsid w:val="3F7D4705"/>
    <w:rsid w:val="3F8A0726"/>
    <w:rsid w:val="3FFF6EC7"/>
    <w:rsid w:val="40A84994"/>
    <w:rsid w:val="40EA09A8"/>
    <w:rsid w:val="439E3CF3"/>
    <w:rsid w:val="43F06C30"/>
    <w:rsid w:val="43FD4EE3"/>
    <w:rsid w:val="443D7E07"/>
    <w:rsid w:val="444B0D02"/>
    <w:rsid w:val="44E87F17"/>
    <w:rsid w:val="45FA6C0A"/>
    <w:rsid w:val="463F0A69"/>
    <w:rsid w:val="475426CD"/>
    <w:rsid w:val="4A070D97"/>
    <w:rsid w:val="4A371A84"/>
    <w:rsid w:val="4A51451A"/>
    <w:rsid w:val="4A901596"/>
    <w:rsid w:val="4B2F2058"/>
    <w:rsid w:val="4B792F35"/>
    <w:rsid w:val="4B9F4A60"/>
    <w:rsid w:val="4DC571A1"/>
    <w:rsid w:val="4E407C5C"/>
    <w:rsid w:val="4F790F26"/>
    <w:rsid w:val="4F975B21"/>
    <w:rsid w:val="4FDC1B95"/>
    <w:rsid w:val="500F4B1A"/>
    <w:rsid w:val="52D54CF6"/>
    <w:rsid w:val="54A11DCD"/>
    <w:rsid w:val="54A63083"/>
    <w:rsid w:val="559C2E84"/>
    <w:rsid w:val="58136CBC"/>
    <w:rsid w:val="587869DC"/>
    <w:rsid w:val="58B2326E"/>
    <w:rsid w:val="593E2093"/>
    <w:rsid w:val="5A0B2611"/>
    <w:rsid w:val="5A0D170D"/>
    <w:rsid w:val="5A1920CA"/>
    <w:rsid w:val="5AFD7B77"/>
    <w:rsid w:val="5B285F8A"/>
    <w:rsid w:val="5B397797"/>
    <w:rsid w:val="5BA21367"/>
    <w:rsid w:val="5C0B3EDC"/>
    <w:rsid w:val="5C7C0F9E"/>
    <w:rsid w:val="5EB3346C"/>
    <w:rsid w:val="5FC41AAB"/>
    <w:rsid w:val="5FDD5045"/>
    <w:rsid w:val="61F173E7"/>
    <w:rsid w:val="623E1074"/>
    <w:rsid w:val="62FE037E"/>
    <w:rsid w:val="63094A81"/>
    <w:rsid w:val="64A83164"/>
    <w:rsid w:val="64EE690C"/>
    <w:rsid w:val="654A17E9"/>
    <w:rsid w:val="65810D71"/>
    <w:rsid w:val="66107A65"/>
    <w:rsid w:val="66403A79"/>
    <w:rsid w:val="67316339"/>
    <w:rsid w:val="67B84D48"/>
    <w:rsid w:val="69705E7E"/>
    <w:rsid w:val="69D35570"/>
    <w:rsid w:val="6ACC5E07"/>
    <w:rsid w:val="6CFA358F"/>
    <w:rsid w:val="6D0241D9"/>
    <w:rsid w:val="6D680D7E"/>
    <w:rsid w:val="6D9E073E"/>
    <w:rsid w:val="6DCF5485"/>
    <w:rsid w:val="6FEC1BB2"/>
    <w:rsid w:val="70EC6FCB"/>
    <w:rsid w:val="717A0F44"/>
    <w:rsid w:val="737F6ECA"/>
    <w:rsid w:val="74ED1601"/>
    <w:rsid w:val="75B93E69"/>
    <w:rsid w:val="764A4AC2"/>
    <w:rsid w:val="76561D6C"/>
    <w:rsid w:val="76F1583B"/>
    <w:rsid w:val="77357953"/>
    <w:rsid w:val="7745452C"/>
    <w:rsid w:val="77C2317F"/>
    <w:rsid w:val="78587D99"/>
    <w:rsid w:val="7A1A53CF"/>
    <w:rsid w:val="7A751A44"/>
    <w:rsid w:val="7ABD4BBF"/>
    <w:rsid w:val="7C282BCB"/>
    <w:rsid w:val="7CC30FFA"/>
    <w:rsid w:val="7DCA176E"/>
    <w:rsid w:val="7E785F59"/>
    <w:rsid w:val="7E8A7101"/>
    <w:rsid w:val="7EA24EBA"/>
    <w:rsid w:val="7F432F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5">
    <w:name w:val="Default Paragraph Font"/>
    <w:unhideWhenUsed/>
    <w:qFormat/>
    <w:uiPriority w:val="1"/>
  </w:style>
  <w:style w:type="table" w:default="1" w:styleId="7">
    <w:name w:val="Normal Table"/>
    <w:unhideWhenUsed/>
    <w:qFormat/>
    <w:uiPriority w:val="99"/>
    <w:tblPr>
      <w:tblLayout w:type="fixed"/>
    </w:tblPr>
  </w:style>
  <w:style w:type="paragraph" w:styleId="3">
    <w:name w:val="Balloon Text"/>
    <w:basedOn w:val="1"/>
    <w:link w:val="10"/>
    <w:qFormat/>
    <w:uiPriority w:val="0"/>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_Style 2"/>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dc8bf2a83d2b6f31d1dd60d75be1c40ad2aec94c\&#29992;&#25143;&#25152;&#38656;&#20135;&#21697;&#25253;&#20215;&#21333;.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用户所需产品报价单.doc</Template>
  <Pages>5</Pages>
  <Words>870</Words>
  <Characters>1439</Characters>
  <ScaleCrop>false</ScaleCrop>
  <LinksUpToDate>false</LinksUpToDate>
  <CharactersWithSpaces>1505</CharactersWithSpaces>
  <Application>WPS Office_10.1.0.7223_F1E327BC-269C-435d-A152-05C5408002CA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2018-01-13T08:59:00Z</dcterms:created>
  <dc:creator>予华仪器@刘辉</dc:creator>
  <cp:lastModifiedBy>予华仪器@刘辉</cp:lastModifiedBy>
  <dcterms:modified xsi:type="dcterms:W3CDTF">2018-04-17T01:41:52Z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