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both"/>
        <w:rPr>
          <w:rFonts w:hint="eastAsia"/>
          <w:color w:val="FF0000"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t>上海研锦科学仪器有限公司是一家专业从事以热分析仪器、热分析耗材为主的专业研发、制造及生产厂家。公司一贯坚持“质量第一，客户至上”的品牌理念，不断的创新、完善产品，以卓越品质，优质服务为客户提供超出预期的产品和服务。</w:t>
      </w:r>
    </w:p>
    <w:p>
      <w:pPr>
        <w:ind w:left="420" w:hanging="560" w:hangingChars="200"/>
        <w:jc w:val="both"/>
        <w:rPr>
          <w:rFonts w:hint="eastAsia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t>公司网址：</w:t>
      </w: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fldChar w:fldCharType="begin"/>
      </w: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instrText xml:space="preserve"> HYPERLINK "http://www.yanjin-instrument.com/" </w:instrText>
      </w: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fldChar w:fldCharType="separate"/>
      </w:r>
      <w:r>
        <w:rPr>
          <w:rStyle w:val="3"/>
          <w:rFonts w:hint="eastAsia"/>
          <w:color w:val="FF0000"/>
          <w:sz w:val="28"/>
          <w:szCs w:val="28"/>
          <w:vertAlign w:val="baseline"/>
          <w:lang w:val="en-US" w:eastAsia="zh-CN"/>
        </w:rPr>
        <w:t>http://www.yanjin-instrument.com/</w:t>
      </w: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fldChar w:fldCharType="end"/>
      </w:r>
    </w:p>
    <w:p>
      <w:pPr>
        <w:ind w:left="420" w:hanging="560" w:hangingChars="200"/>
        <w:jc w:val="both"/>
        <w:rPr>
          <w:rFonts w:hint="eastAsia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t>产品分类：热分析仪器</w:t>
      </w:r>
    </w:p>
    <w:tbl>
      <w:tblPr>
        <w:tblStyle w:val="5"/>
        <w:tblW w:w="907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85"/>
        <w:gridCol w:w="3600"/>
        <w:gridCol w:w="18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restart"/>
            <w:shd w:val="clear" w:color="auto" w:fill="9CC2E5" w:themeFill="accent1" w:themeFillTint="99"/>
          </w:tcPr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差示扫描量热仪（DSC）</w:t>
            </w:r>
          </w:p>
        </w:tc>
        <w:tc>
          <w:tcPr>
            <w:tcW w:w="1185" w:type="dxa"/>
            <w:shd w:val="clear" w:color="auto" w:fill="9CC2E5" w:themeFill="accent1" w:themeFillTint="99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3600" w:type="dxa"/>
            <w:shd w:val="clear" w:color="auto" w:fill="9CC2E5" w:themeFill="accent1" w:themeFillTint="99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>
            <w:pPr>
              <w:ind w:firstLine="339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优势</w:t>
            </w:r>
          </w:p>
        </w:tc>
        <w:tc>
          <w:tcPr>
            <w:tcW w:w="1485" w:type="dxa"/>
            <w:shd w:val="clear" w:color="auto" w:fill="9CC2E5" w:themeFill="accent1" w:themeFillTint="99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温度范围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DSC-500A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专做氧化诱导期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无需外接电脑，便可完成操作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室温-500℃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DSC-500B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全自动操作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室温-500℃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DSC-500C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进口传感器，做玻璃化温度明显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室温-500℃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DSC-500W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增加水冷装置，快速降温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10℃-500℃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DSC-350L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熔点焓变、玻璃化温度转变、结晶等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半导体制冷，快速线性降温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-30℃-350℃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DSC-500L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液氮制冷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-150℃-500L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DSC-750L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液氮制冷、银炉子，加热均匀性好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-150℃-725℃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DSC-800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全自动操作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室温-800℃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DSC-1150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全自动操作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室温-1150℃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DSC-1450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全自动操作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室温-1450℃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05" w:type="dxa"/>
            <w:vMerge w:val="restart"/>
            <w:shd w:val="clear" w:color="auto" w:fill="9CC2E5" w:themeFill="accent1" w:themeFillTint="9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炭黑含量测试仪</w:t>
            </w: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TH-9001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测炭黑含量及灰分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一次最多可同时做三个样品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室温-1100℃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TH-9002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测炭黑含量及灰分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除上述优点外，由两组传感器控温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室温-1100℃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restart"/>
            <w:shd w:val="clear" w:color="auto" w:fill="9CC2E5" w:themeFill="accent1" w:themeFillTint="9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炭黑分散度</w:t>
            </w: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YH3600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符合管道、橡胶、塑料、土工等国标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分析时间短，软件自动生成报告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YH3800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符合橡胶国标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分析时间短，软件自动生成报告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shd w:val="clear" w:color="auto" w:fill="9CC2E5" w:themeFill="accent1" w:themeFillTint="99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熔点仪</w:t>
            </w: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RDY-500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专测熔点，速度快，精度高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差热方法，全自动操作自动生成报告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室温-500℃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热分析配件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压片机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YJ-100A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坩埚密封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梅特勒坩埚及国产坩埚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石英舟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YJ-50/YJ-70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炭黑含量中放置样品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坩埚</w:t>
      </w:r>
    </w:p>
    <w:tbl>
      <w:tblPr>
        <w:tblStyle w:val="5"/>
        <w:tblW w:w="7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610"/>
        <w:gridCol w:w="1150"/>
        <w:gridCol w:w="1340"/>
        <w:gridCol w:w="122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货号</w:t>
            </w:r>
          </w:p>
        </w:tc>
        <w:tc>
          <w:tcPr>
            <w:tcW w:w="261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1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品种</w:t>
            </w:r>
          </w:p>
        </w:tc>
        <w:tc>
          <w:tcPr>
            <w:tcW w:w="134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品类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7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YJ001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德国耐驰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固体/液体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ɸ8*2.1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YJ002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美国TA Q20/Q2000/Q25等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ɸ5.4*2.6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YJ003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美国TA Q20/Q2000/Q25等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ɸ5.4*2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YJ004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美国TA Q10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ɸ6.65*1.7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YJ005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美国TA Q10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ɸ6.8*2.7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YJ006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瑞士梅特勒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固体/液体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平底铝坩埚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ɸ6*1.7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YJ007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瑞士梅特勒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固体/液体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定位铝坩埚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ɸ6*1.7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YJ008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瑞士梅特勒100ul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100ul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ɸ6*4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YJ009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铂金埃尔默（PE）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ɸ6.65*1.7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YJ010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铂金埃尔默（PE）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ɸ4.7*1.3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YJ011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日本精工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ɸ5.2*2.5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YJ012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日本精工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ɸ6.8*2.7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YJ013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日本岛津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ɸ5.7*1.7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YJ014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日本岛津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ɸ6*2.5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YJ015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固体/液体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ɸ7.2*2.3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YJ016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</w:t>
            </w:r>
            <w:r>
              <w:rPr>
                <w:rFonts w:hint="eastAsia"/>
                <w:vertAlign w:val="baseline"/>
                <w:lang w:val="en-US" w:eastAsia="zh-CN"/>
              </w:rPr>
              <w:t>.7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*2.5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YJ017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</w:t>
            </w:r>
            <w:r>
              <w:rPr>
                <w:rFonts w:hint="eastAsia"/>
                <w:vertAlign w:val="baseline"/>
                <w:lang w:val="en-US" w:eastAsia="zh-CN"/>
              </w:rPr>
              <w:t>6.7*3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YJ018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YJ019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YJ020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氧化铝坩埚</w:t>
            </w:r>
          </w:p>
        </w:tc>
        <w:tc>
          <w:tcPr>
            <w:tcW w:w="1220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</w:t>
            </w:r>
            <w:r>
              <w:rPr>
                <w:rFonts w:hint="eastAsia"/>
                <w:vertAlign w:val="baseline"/>
                <w:lang w:val="en-US" w:eastAsia="zh-CN"/>
              </w:rPr>
              <w:t>6.5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1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坩埚品种繁多，其他型号尺寸请来电咨询，谢谢！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486" w:bottom="1440" w:left="9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A5D41"/>
    <w:rsid w:val="03C51BF2"/>
    <w:rsid w:val="0BC3412B"/>
    <w:rsid w:val="1CB26A8A"/>
    <w:rsid w:val="20C020A5"/>
    <w:rsid w:val="321A5D41"/>
    <w:rsid w:val="387866AD"/>
    <w:rsid w:val="3E6B69F0"/>
    <w:rsid w:val="44F52AF5"/>
    <w:rsid w:val="48B77D7D"/>
    <w:rsid w:val="74931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2018-05-04T07:59:00Z</dcterms:created>
  <dc:creator>上海研锦科学仪器有限公司</dc:creator>
  <cp:lastModifiedBy>上海研锦科学仪器有限公司</cp:lastModifiedBy>
  <dcterms:modified xsi:type="dcterms:W3CDTF">2018-05-09T05:34:51Z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