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DC6" w:rsidRPr="00804386" w:rsidRDefault="007E6DC6" w:rsidP="007E6DC6">
      <w:pPr>
        <w:jc w:val="left"/>
        <w:rPr>
          <w:rFonts w:ascii="黑体" w:eastAsia="黑体" w:hAnsi="黑体"/>
          <w:sz w:val="32"/>
          <w:szCs w:val="32"/>
        </w:rPr>
      </w:pPr>
      <w:r w:rsidRPr="00804386">
        <w:rPr>
          <w:rFonts w:ascii="黑体" w:eastAsia="黑体" w:hAnsi="黑体" w:hint="eastAsia"/>
          <w:sz w:val="32"/>
          <w:szCs w:val="32"/>
        </w:rPr>
        <w:t>附件</w:t>
      </w:r>
    </w:p>
    <w:p w:rsidR="007E6DC6" w:rsidRPr="00804386" w:rsidRDefault="007E6DC6" w:rsidP="007E6DC6">
      <w:pPr>
        <w:spacing w:line="600" w:lineRule="exact"/>
        <w:jc w:val="center"/>
        <w:rPr>
          <w:rFonts w:eastAsia="仿宋_GB2312"/>
          <w:sz w:val="32"/>
        </w:rPr>
      </w:pPr>
    </w:p>
    <w:p w:rsidR="007E6DC6" w:rsidRPr="00804386" w:rsidRDefault="007E6DC6" w:rsidP="007E6DC6">
      <w:pPr>
        <w:spacing w:line="600" w:lineRule="exact"/>
        <w:jc w:val="center"/>
        <w:rPr>
          <w:rFonts w:ascii="方正小标宋简体" w:eastAsia="方正小标宋简体"/>
          <w:sz w:val="44"/>
          <w:szCs w:val="44"/>
        </w:rPr>
      </w:pPr>
      <w:r w:rsidRPr="00804386">
        <w:rPr>
          <w:rFonts w:ascii="方正小标宋简体" w:eastAsia="方正小标宋简体" w:hint="eastAsia"/>
          <w:sz w:val="44"/>
          <w:szCs w:val="44"/>
        </w:rPr>
        <w:t>餐饮服务明厨亮灶管理办法</w:t>
      </w:r>
    </w:p>
    <w:p w:rsidR="007E6DC6" w:rsidRPr="00804386" w:rsidRDefault="007E6DC6" w:rsidP="007E6DC6">
      <w:pPr>
        <w:jc w:val="center"/>
        <w:rPr>
          <w:rFonts w:ascii="楷体_GB2312" w:eastAsia="楷体_GB2312"/>
          <w:sz w:val="32"/>
          <w:szCs w:val="32"/>
        </w:rPr>
      </w:pPr>
      <w:r w:rsidRPr="00804386">
        <w:rPr>
          <w:rFonts w:ascii="楷体_GB2312" w:eastAsia="楷体_GB2312" w:hint="eastAsia"/>
          <w:sz w:val="32"/>
          <w:szCs w:val="32"/>
        </w:rPr>
        <w:t>（征求意见稿）</w:t>
      </w:r>
    </w:p>
    <w:p w:rsidR="007E6DC6" w:rsidRPr="00804386" w:rsidRDefault="007E6DC6" w:rsidP="007E6DC6">
      <w:pPr>
        <w:spacing w:line="620" w:lineRule="exact"/>
        <w:ind w:firstLineChars="200" w:firstLine="640"/>
        <w:rPr>
          <w:rFonts w:eastAsia="仿宋_GB2312"/>
          <w:sz w:val="32"/>
        </w:rPr>
      </w:pPr>
    </w:p>
    <w:p w:rsidR="007E6DC6" w:rsidRPr="00804386" w:rsidRDefault="007E6DC6" w:rsidP="007E6DC6">
      <w:pPr>
        <w:spacing w:line="620" w:lineRule="exact"/>
        <w:ind w:firstLineChars="200" w:firstLine="640"/>
        <w:rPr>
          <w:rFonts w:eastAsia="仿宋_GB2312"/>
          <w:sz w:val="32"/>
        </w:rPr>
      </w:pPr>
      <w:r w:rsidRPr="00804386">
        <w:rPr>
          <w:rFonts w:ascii="黑体" w:eastAsia="黑体" w:hAnsi="黑体" w:hint="eastAsia"/>
          <w:sz w:val="32"/>
        </w:rPr>
        <w:t>第一条</w:t>
      </w:r>
      <w:r w:rsidRPr="00804386">
        <w:rPr>
          <w:rFonts w:eastAsia="仿宋_GB2312" w:hint="eastAsia"/>
          <w:sz w:val="32"/>
        </w:rPr>
        <w:t>为规范餐饮服务提供者公开加工过程，公示食品原料信息，督促餐饮服务提供者加强食品安全管理和诚信经营，推动餐饮服务食品安全社会共治，根据《</w:t>
      </w:r>
      <w:r>
        <w:rPr>
          <w:rFonts w:eastAsia="仿宋_GB2312" w:hint="eastAsia"/>
          <w:sz w:val="32"/>
        </w:rPr>
        <w:t>中华人民共和国</w:t>
      </w:r>
      <w:r w:rsidRPr="00804386">
        <w:rPr>
          <w:rFonts w:eastAsia="仿宋_GB2312" w:hint="eastAsia"/>
          <w:sz w:val="32"/>
        </w:rPr>
        <w:t>食品安全法》有关规定，制定本办法。</w:t>
      </w:r>
    </w:p>
    <w:p w:rsidR="007E6DC6" w:rsidRPr="00804386" w:rsidRDefault="007E6DC6" w:rsidP="007E6DC6">
      <w:pPr>
        <w:spacing w:line="620" w:lineRule="exact"/>
        <w:ind w:firstLineChars="200" w:firstLine="640"/>
        <w:rPr>
          <w:rFonts w:eastAsia="仿宋_GB2312"/>
          <w:sz w:val="32"/>
        </w:rPr>
      </w:pPr>
      <w:r w:rsidRPr="00804386">
        <w:rPr>
          <w:rFonts w:ascii="黑体" w:eastAsia="黑体" w:hAnsi="黑体" w:hint="eastAsia"/>
          <w:sz w:val="32"/>
        </w:rPr>
        <w:t>第二条</w:t>
      </w:r>
      <w:r w:rsidRPr="00804386">
        <w:rPr>
          <w:rFonts w:eastAsia="仿宋_GB2312" w:hint="eastAsia"/>
          <w:sz w:val="32"/>
        </w:rPr>
        <w:t>本办法所称明厨</w:t>
      </w:r>
      <w:r w:rsidRPr="00804386">
        <w:rPr>
          <w:rFonts w:ascii="仿宋" w:eastAsia="仿宋" w:hAnsi="仿宋" w:hint="eastAsia"/>
          <w:sz w:val="32"/>
        </w:rPr>
        <w:t>亮灶，</w:t>
      </w:r>
      <w:r w:rsidRPr="00804386">
        <w:rPr>
          <w:rFonts w:eastAsia="仿宋_GB2312" w:hint="eastAsia"/>
          <w:sz w:val="32"/>
        </w:rPr>
        <w:t>是指餐饮服务提供者采用开放、透明、视频等方式，向消费者和公众展示餐饮服务食品安全管理的一种形式。</w:t>
      </w:r>
    </w:p>
    <w:p w:rsidR="007E6DC6" w:rsidRPr="00804386" w:rsidRDefault="007E6DC6" w:rsidP="007E6DC6">
      <w:pPr>
        <w:spacing w:line="620" w:lineRule="exact"/>
        <w:ind w:firstLineChars="200" w:firstLine="640"/>
        <w:rPr>
          <w:rFonts w:eastAsia="仿宋_GB2312"/>
          <w:sz w:val="32"/>
        </w:rPr>
      </w:pPr>
      <w:r w:rsidRPr="00804386">
        <w:rPr>
          <w:rFonts w:ascii="黑体" w:eastAsia="黑体" w:hAnsi="黑体" w:hint="eastAsia"/>
          <w:sz w:val="32"/>
        </w:rPr>
        <w:t>第三条</w:t>
      </w:r>
      <w:r w:rsidRPr="00804386">
        <w:rPr>
          <w:rFonts w:eastAsia="仿宋_GB2312" w:hint="eastAsia"/>
          <w:sz w:val="32"/>
        </w:rPr>
        <w:t>公开的重点内容包括厨房环境卫生、烹饪、冷食生食类食品加工制作和餐饮具清洗消毒等。</w:t>
      </w:r>
    </w:p>
    <w:p w:rsidR="007E6DC6" w:rsidRPr="00804386" w:rsidRDefault="007E6DC6" w:rsidP="007E6DC6">
      <w:pPr>
        <w:spacing w:line="620" w:lineRule="exact"/>
        <w:ind w:firstLineChars="200" w:firstLine="640"/>
        <w:rPr>
          <w:rFonts w:eastAsia="仿宋_GB2312"/>
          <w:sz w:val="32"/>
        </w:rPr>
      </w:pPr>
      <w:r w:rsidRPr="00804386">
        <w:rPr>
          <w:rFonts w:eastAsia="仿宋_GB2312" w:hint="eastAsia"/>
          <w:sz w:val="32"/>
        </w:rPr>
        <w:t>公示的原料信息包括肉、菜、鱼、米、面、油等主要原料的来源信息。</w:t>
      </w:r>
    </w:p>
    <w:p w:rsidR="007E6DC6" w:rsidRPr="00804386" w:rsidRDefault="007E6DC6" w:rsidP="007E6DC6">
      <w:pPr>
        <w:spacing w:line="620" w:lineRule="exact"/>
        <w:ind w:firstLineChars="200" w:firstLine="640"/>
        <w:rPr>
          <w:rFonts w:eastAsia="仿宋_GB2312"/>
          <w:sz w:val="32"/>
        </w:rPr>
      </w:pPr>
      <w:r w:rsidRPr="00804386">
        <w:rPr>
          <w:rFonts w:ascii="黑体" w:eastAsia="黑体" w:hAnsi="黑体" w:hint="eastAsia"/>
          <w:sz w:val="32"/>
        </w:rPr>
        <w:t>第四条</w:t>
      </w:r>
      <w:r w:rsidRPr="00804386">
        <w:rPr>
          <w:rFonts w:eastAsia="仿宋_GB2312" w:hint="eastAsia"/>
          <w:sz w:val="32"/>
        </w:rPr>
        <w:t>国家食品药品监督管理总局负责指导餐饮服务明厨亮灶工作。</w:t>
      </w:r>
    </w:p>
    <w:p w:rsidR="007E6DC6" w:rsidRPr="00804386" w:rsidRDefault="007E6DC6" w:rsidP="007E6DC6">
      <w:pPr>
        <w:spacing w:line="620" w:lineRule="exact"/>
        <w:ind w:firstLineChars="200" w:firstLine="640"/>
        <w:rPr>
          <w:rFonts w:eastAsia="仿宋_GB2312"/>
          <w:sz w:val="32"/>
        </w:rPr>
      </w:pPr>
      <w:r w:rsidRPr="00804386">
        <w:rPr>
          <w:rFonts w:eastAsia="仿宋_GB2312" w:hint="eastAsia"/>
          <w:sz w:val="32"/>
        </w:rPr>
        <w:t>省级食品药品监督管理局负责指导管理本</w:t>
      </w:r>
      <w:r>
        <w:rPr>
          <w:rFonts w:eastAsia="仿宋_GB2312" w:hint="eastAsia"/>
          <w:sz w:val="32"/>
        </w:rPr>
        <w:t>行政区域</w:t>
      </w:r>
      <w:r w:rsidRPr="00804386">
        <w:rPr>
          <w:rFonts w:eastAsia="仿宋_GB2312" w:hint="eastAsia"/>
          <w:sz w:val="32"/>
        </w:rPr>
        <w:t>餐饮服务明厨亮灶工作。</w:t>
      </w:r>
    </w:p>
    <w:p w:rsidR="007E6DC6" w:rsidRPr="00804386" w:rsidRDefault="007E6DC6" w:rsidP="007E6DC6">
      <w:pPr>
        <w:spacing w:line="620" w:lineRule="exact"/>
        <w:ind w:firstLineChars="200" w:firstLine="640"/>
        <w:rPr>
          <w:rFonts w:eastAsia="仿宋_GB2312"/>
          <w:sz w:val="32"/>
        </w:rPr>
      </w:pPr>
      <w:r w:rsidRPr="00804386">
        <w:rPr>
          <w:rFonts w:eastAsia="仿宋_GB2312" w:hint="eastAsia"/>
          <w:sz w:val="32"/>
        </w:rPr>
        <w:t>市县级食品药品监督管理部门负责管理本</w:t>
      </w:r>
      <w:r>
        <w:rPr>
          <w:rFonts w:eastAsia="仿宋_GB2312" w:hint="eastAsia"/>
          <w:sz w:val="32"/>
        </w:rPr>
        <w:t>行政区域</w:t>
      </w:r>
      <w:r w:rsidRPr="00804386">
        <w:rPr>
          <w:rFonts w:eastAsia="仿宋_GB2312" w:hint="eastAsia"/>
          <w:sz w:val="32"/>
        </w:rPr>
        <w:t>餐饮服</w:t>
      </w:r>
      <w:r w:rsidRPr="00804386">
        <w:rPr>
          <w:rFonts w:eastAsia="仿宋_GB2312" w:hint="eastAsia"/>
          <w:sz w:val="32"/>
        </w:rPr>
        <w:lastRenderedPageBreak/>
        <w:t>务明厨亮灶工作。</w:t>
      </w:r>
    </w:p>
    <w:p w:rsidR="007E6DC6" w:rsidRPr="00804386" w:rsidRDefault="007E6DC6" w:rsidP="007E6DC6">
      <w:pPr>
        <w:spacing w:line="620" w:lineRule="exact"/>
        <w:ind w:firstLineChars="200" w:firstLine="640"/>
        <w:rPr>
          <w:rFonts w:eastAsia="仿宋_GB2312"/>
          <w:sz w:val="32"/>
        </w:rPr>
      </w:pPr>
      <w:r w:rsidRPr="00804386">
        <w:rPr>
          <w:rFonts w:ascii="黑体" w:eastAsia="黑体" w:hAnsi="黑体" w:hint="eastAsia"/>
          <w:sz w:val="32"/>
        </w:rPr>
        <w:t>第五条</w:t>
      </w:r>
      <w:r w:rsidRPr="00804386">
        <w:rPr>
          <w:rFonts w:eastAsia="仿宋_GB2312" w:hint="eastAsia"/>
          <w:sz w:val="32"/>
        </w:rPr>
        <w:t>实施明厨亮灶的餐饮服务提供者应当主体资格合法、经营过程合规，并做到原辅料来源清楚，厨房环境、烹饪加工用具洁净，加工人员工作衣帽干净卫生</w:t>
      </w:r>
      <w:r>
        <w:rPr>
          <w:rFonts w:eastAsia="仿宋_GB2312" w:hint="eastAsia"/>
          <w:sz w:val="32"/>
        </w:rPr>
        <w:t>。</w:t>
      </w:r>
    </w:p>
    <w:p w:rsidR="007E6DC6" w:rsidRPr="00804386" w:rsidRDefault="007E6DC6" w:rsidP="007E6DC6">
      <w:pPr>
        <w:spacing w:line="620" w:lineRule="exact"/>
        <w:ind w:firstLineChars="200" w:firstLine="640"/>
        <w:rPr>
          <w:rFonts w:eastAsia="仿宋_GB2312"/>
          <w:sz w:val="32"/>
        </w:rPr>
      </w:pPr>
      <w:r w:rsidRPr="00804386">
        <w:rPr>
          <w:rFonts w:ascii="黑体" w:eastAsia="黑体" w:hAnsi="黑体" w:hint="eastAsia"/>
          <w:sz w:val="32"/>
        </w:rPr>
        <w:t>第六条</w:t>
      </w:r>
      <w:r w:rsidRPr="00804386">
        <w:rPr>
          <w:rFonts w:eastAsia="仿宋_GB2312" w:hint="eastAsia"/>
          <w:sz w:val="32"/>
        </w:rPr>
        <w:t>餐饮服务提供者采用开放式展示的，应在室内采用敞开或者矮墙阻隔方式向社会公众展示。</w:t>
      </w:r>
    </w:p>
    <w:p w:rsidR="007E6DC6" w:rsidRPr="00804386" w:rsidRDefault="007E6DC6" w:rsidP="007E6DC6">
      <w:pPr>
        <w:spacing w:line="620" w:lineRule="exact"/>
        <w:ind w:firstLineChars="200" w:firstLine="640"/>
        <w:rPr>
          <w:rFonts w:eastAsia="仿宋_GB2312"/>
          <w:sz w:val="32"/>
        </w:rPr>
      </w:pPr>
      <w:r w:rsidRPr="00804386">
        <w:rPr>
          <w:rFonts w:eastAsia="仿宋_GB2312" w:hint="eastAsia"/>
          <w:sz w:val="32"/>
        </w:rPr>
        <w:t>在餐厅入口处设有风</w:t>
      </w:r>
      <w:r w:rsidRPr="00567FD6">
        <w:rPr>
          <w:rFonts w:eastAsia="仿宋_GB2312" w:hint="eastAsia"/>
          <w:color w:val="000000"/>
          <w:sz w:val="32"/>
        </w:rPr>
        <w:t>幕</w:t>
      </w:r>
      <w:r w:rsidRPr="00804386">
        <w:rPr>
          <w:rFonts w:eastAsia="仿宋_GB2312" w:hint="eastAsia"/>
          <w:sz w:val="32"/>
        </w:rPr>
        <w:t>机或自动闭合门等空气阻断设施的餐饮服务提供者，可选择开放展示的方式。</w:t>
      </w:r>
    </w:p>
    <w:p w:rsidR="007E6DC6" w:rsidRPr="00804386" w:rsidRDefault="007E6DC6" w:rsidP="007E6DC6">
      <w:pPr>
        <w:spacing w:line="620" w:lineRule="exact"/>
        <w:ind w:firstLineChars="200" w:firstLine="640"/>
        <w:rPr>
          <w:rFonts w:eastAsia="仿宋_GB2312"/>
          <w:sz w:val="32"/>
        </w:rPr>
      </w:pPr>
      <w:r w:rsidRPr="00804386">
        <w:rPr>
          <w:rFonts w:eastAsia="仿宋_GB2312" w:hint="eastAsia"/>
          <w:sz w:val="32"/>
        </w:rPr>
        <w:t>采取开放式展示应当具有防蝇、防尘等防护措施，保证室内环境卫生。</w:t>
      </w:r>
    </w:p>
    <w:p w:rsidR="007E6DC6" w:rsidRPr="00804386" w:rsidRDefault="007E6DC6" w:rsidP="007E6DC6">
      <w:pPr>
        <w:spacing w:line="620" w:lineRule="exact"/>
        <w:ind w:firstLineChars="200" w:firstLine="640"/>
        <w:rPr>
          <w:rFonts w:eastAsia="仿宋_GB2312"/>
          <w:sz w:val="32"/>
        </w:rPr>
      </w:pPr>
      <w:r w:rsidRPr="00804386">
        <w:rPr>
          <w:rFonts w:eastAsia="仿宋_GB2312" w:hint="eastAsia"/>
          <w:sz w:val="32"/>
        </w:rPr>
        <w:t>采取开放式展示应当对原料、半成品、成品采取防护措施，防止交叉污染，保证加工食品的安全。</w:t>
      </w:r>
    </w:p>
    <w:p w:rsidR="007E6DC6" w:rsidRPr="00804386" w:rsidRDefault="007E6DC6" w:rsidP="007E6DC6">
      <w:pPr>
        <w:spacing w:line="620" w:lineRule="exact"/>
        <w:ind w:firstLineChars="200" w:firstLine="640"/>
        <w:rPr>
          <w:rFonts w:eastAsia="仿宋_GB2312"/>
          <w:sz w:val="32"/>
        </w:rPr>
      </w:pPr>
      <w:r w:rsidRPr="00804386">
        <w:rPr>
          <w:rFonts w:ascii="黑体" w:eastAsia="黑体" w:hAnsi="黑体" w:hint="eastAsia"/>
          <w:sz w:val="32"/>
        </w:rPr>
        <w:t>第七条</w:t>
      </w:r>
      <w:r w:rsidRPr="00804386">
        <w:rPr>
          <w:rFonts w:eastAsia="仿宋_GB2312" w:hint="eastAsia"/>
          <w:sz w:val="32"/>
        </w:rPr>
        <w:t>餐饮服务提供者采用透明式展示的，可通过建造透明玻璃窗、玻璃墙的方式向社会公众展示。</w:t>
      </w:r>
    </w:p>
    <w:p w:rsidR="007E6DC6" w:rsidRPr="00804386" w:rsidRDefault="007E6DC6" w:rsidP="007E6DC6">
      <w:pPr>
        <w:spacing w:line="620" w:lineRule="exact"/>
        <w:ind w:firstLineChars="200" w:firstLine="640"/>
        <w:rPr>
          <w:rFonts w:eastAsia="仿宋_GB2312"/>
          <w:sz w:val="32"/>
        </w:rPr>
      </w:pPr>
      <w:r w:rsidRPr="00804386">
        <w:rPr>
          <w:rFonts w:ascii="黑体" w:eastAsia="黑体" w:hAnsi="黑体" w:hint="eastAsia"/>
          <w:sz w:val="32"/>
        </w:rPr>
        <w:t>第八条</w:t>
      </w:r>
      <w:r w:rsidRPr="00804386">
        <w:rPr>
          <w:rFonts w:eastAsia="仿宋_GB2312" w:hint="eastAsia"/>
          <w:sz w:val="32"/>
        </w:rPr>
        <w:t>透明玻璃表面应光滑整洁、通透明亮，无积尘、无油灰。玻璃上的粘贴画不得遮挡视线，且玻璃两侧不宜存放遮挡视线的物品。</w:t>
      </w:r>
    </w:p>
    <w:p w:rsidR="007E6DC6" w:rsidRPr="00804386" w:rsidRDefault="007E6DC6" w:rsidP="007E6DC6">
      <w:pPr>
        <w:spacing w:line="620" w:lineRule="exact"/>
        <w:ind w:firstLineChars="200" w:firstLine="640"/>
        <w:rPr>
          <w:rFonts w:eastAsia="仿宋_GB2312"/>
          <w:sz w:val="32"/>
        </w:rPr>
      </w:pPr>
      <w:r w:rsidRPr="00804386">
        <w:rPr>
          <w:rFonts w:ascii="黑体" w:eastAsia="黑体" w:hAnsi="黑体" w:hint="eastAsia"/>
          <w:sz w:val="32"/>
        </w:rPr>
        <w:t>第九条</w:t>
      </w:r>
      <w:r w:rsidRPr="00804386">
        <w:rPr>
          <w:rFonts w:eastAsia="仿宋_GB2312" w:hint="eastAsia"/>
          <w:sz w:val="32"/>
        </w:rPr>
        <w:t>透明玻璃应当定期清洁，防</w:t>
      </w:r>
      <w:r w:rsidRPr="00567FD6">
        <w:rPr>
          <w:rFonts w:eastAsia="仿宋_GB2312" w:hint="eastAsia"/>
          <w:color w:val="000000"/>
          <w:sz w:val="32"/>
        </w:rPr>
        <w:t>雾汽</w:t>
      </w:r>
      <w:r w:rsidRPr="00804386">
        <w:rPr>
          <w:rFonts w:eastAsia="仿宋_GB2312" w:hint="eastAsia"/>
          <w:sz w:val="32"/>
        </w:rPr>
        <w:t>，保持视线清晰。</w:t>
      </w:r>
    </w:p>
    <w:p w:rsidR="007E6DC6" w:rsidRPr="00804386" w:rsidRDefault="007E6DC6" w:rsidP="007E6DC6">
      <w:pPr>
        <w:spacing w:line="620" w:lineRule="exact"/>
        <w:ind w:firstLineChars="200" w:firstLine="640"/>
        <w:rPr>
          <w:rFonts w:eastAsia="仿宋_GB2312"/>
          <w:sz w:val="32"/>
        </w:rPr>
      </w:pPr>
      <w:r w:rsidRPr="00804386">
        <w:rPr>
          <w:rFonts w:ascii="黑体" w:eastAsia="黑体" w:hAnsi="黑体" w:hint="eastAsia"/>
          <w:sz w:val="32"/>
        </w:rPr>
        <w:t>第十条</w:t>
      </w:r>
      <w:r w:rsidRPr="00804386">
        <w:rPr>
          <w:rFonts w:eastAsia="仿宋_GB2312" w:hint="eastAsia"/>
          <w:sz w:val="32"/>
        </w:rPr>
        <w:t>餐饮服务提供者采用视频式展示的，可通过视频直播的方式向社会公众展示。</w:t>
      </w:r>
    </w:p>
    <w:p w:rsidR="007E6DC6" w:rsidRPr="00804386" w:rsidRDefault="007E6DC6" w:rsidP="007E6DC6">
      <w:pPr>
        <w:spacing w:line="620" w:lineRule="exact"/>
        <w:ind w:firstLineChars="200" w:firstLine="640"/>
        <w:rPr>
          <w:rFonts w:eastAsia="仿宋_GB2312"/>
          <w:sz w:val="32"/>
        </w:rPr>
      </w:pPr>
      <w:r w:rsidRPr="00804386">
        <w:rPr>
          <w:rFonts w:eastAsia="仿宋_GB2312" w:hint="eastAsia"/>
          <w:sz w:val="32"/>
        </w:rPr>
        <w:t>采用视频展示的，应当保证就餐人员在就餐区域能看到视频</w:t>
      </w:r>
      <w:r w:rsidRPr="00804386">
        <w:rPr>
          <w:rFonts w:eastAsia="仿宋_GB2312" w:hint="eastAsia"/>
          <w:sz w:val="32"/>
        </w:rPr>
        <w:lastRenderedPageBreak/>
        <w:t>展示的内容。</w:t>
      </w:r>
    </w:p>
    <w:p w:rsidR="007E6DC6" w:rsidRPr="00804386" w:rsidRDefault="007E6DC6" w:rsidP="007E6DC6">
      <w:pPr>
        <w:spacing w:line="620" w:lineRule="exact"/>
        <w:ind w:firstLineChars="200" w:firstLine="640"/>
        <w:rPr>
          <w:rFonts w:eastAsia="仿宋_GB2312"/>
          <w:sz w:val="32"/>
        </w:rPr>
      </w:pPr>
      <w:r w:rsidRPr="00804386">
        <w:rPr>
          <w:rFonts w:ascii="黑体" w:eastAsia="黑体" w:hAnsi="黑体" w:hint="eastAsia"/>
          <w:sz w:val="32"/>
        </w:rPr>
        <w:t>第十一条</w:t>
      </w:r>
      <w:r w:rsidRPr="00804386">
        <w:rPr>
          <w:rFonts w:eastAsia="仿宋_GB2312" w:hint="eastAsia"/>
          <w:sz w:val="32"/>
        </w:rPr>
        <w:t>餐饮服务提供者也可以将视频信息上传至云平台。</w:t>
      </w:r>
    </w:p>
    <w:p w:rsidR="007E6DC6" w:rsidRPr="00804386" w:rsidRDefault="007E6DC6" w:rsidP="007E6DC6">
      <w:pPr>
        <w:spacing w:line="620" w:lineRule="exact"/>
        <w:ind w:firstLineChars="200" w:firstLine="640"/>
        <w:rPr>
          <w:rFonts w:eastAsia="仿宋_GB2312"/>
          <w:sz w:val="32"/>
        </w:rPr>
      </w:pPr>
      <w:r w:rsidRPr="00804386">
        <w:rPr>
          <w:rFonts w:eastAsia="仿宋_GB2312" w:hint="eastAsia"/>
          <w:sz w:val="32"/>
        </w:rPr>
        <w:t>鼓励中小学食堂、养老院食堂、集体用餐配送单位等餐饮服务提供者创造条件，将视频信息上传至云平台。</w:t>
      </w:r>
    </w:p>
    <w:p w:rsidR="007E6DC6" w:rsidRPr="00804386" w:rsidRDefault="007E6DC6" w:rsidP="007E6DC6">
      <w:pPr>
        <w:spacing w:line="620" w:lineRule="exact"/>
        <w:ind w:firstLineChars="200" w:firstLine="640"/>
        <w:rPr>
          <w:rFonts w:eastAsia="仿宋_GB2312"/>
          <w:sz w:val="32"/>
        </w:rPr>
      </w:pPr>
      <w:r w:rsidRPr="00804386">
        <w:rPr>
          <w:rFonts w:ascii="黑体" w:eastAsia="黑体" w:hAnsi="黑体" w:hint="eastAsia"/>
          <w:sz w:val="32"/>
        </w:rPr>
        <w:t>第十二条</w:t>
      </w:r>
      <w:r w:rsidRPr="00804386">
        <w:rPr>
          <w:rFonts w:eastAsia="仿宋_GB2312" w:hint="eastAsia"/>
          <w:sz w:val="32"/>
        </w:rPr>
        <w:t>入网餐饮服务提供者实行明厨亮灶的，应当将视频信息上传至其加入的网络餐饮服务第三方平台。</w:t>
      </w:r>
    </w:p>
    <w:p w:rsidR="007E6DC6" w:rsidRPr="00804386" w:rsidRDefault="007E6DC6" w:rsidP="007E6DC6">
      <w:pPr>
        <w:spacing w:line="620" w:lineRule="exact"/>
        <w:ind w:firstLineChars="200" w:firstLine="640"/>
        <w:rPr>
          <w:rFonts w:eastAsia="仿宋_GB2312"/>
          <w:sz w:val="32"/>
        </w:rPr>
      </w:pPr>
      <w:r w:rsidRPr="00804386">
        <w:rPr>
          <w:rFonts w:eastAsia="仿宋_GB2312" w:hint="eastAsia"/>
          <w:sz w:val="32"/>
        </w:rPr>
        <w:t>网络餐饮服务第三方平台应当为视频信息上传、消费者的观看提供便利。</w:t>
      </w:r>
    </w:p>
    <w:p w:rsidR="007E6DC6" w:rsidRPr="00804386" w:rsidRDefault="007E6DC6" w:rsidP="007E6DC6">
      <w:pPr>
        <w:spacing w:line="620" w:lineRule="exact"/>
        <w:ind w:firstLineChars="200" w:firstLine="640"/>
        <w:rPr>
          <w:rFonts w:eastAsia="仿宋_GB2312"/>
          <w:sz w:val="32"/>
        </w:rPr>
      </w:pPr>
      <w:r w:rsidRPr="00804386">
        <w:rPr>
          <w:rFonts w:ascii="黑体" w:eastAsia="黑体" w:hAnsi="黑体" w:hint="eastAsia"/>
          <w:sz w:val="32"/>
        </w:rPr>
        <w:t>第十三条</w:t>
      </w:r>
      <w:r w:rsidRPr="00804386">
        <w:rPr>
          <w:rFonts w:eastAsia="仿宋_GB2312" w:hint="eastAsia"/>
          <w:sz w:val="32"/>
        </w:rPr>
        <w:t>视频直播展示的设备由视频信息采集设备、图像展示设备和连接、储存设备三部分组成。</w:t>
      </w:r>
    </w:p>
    <w:p w:rsidR="007E6DC6" w:rsidRPr="00804386" w:rsidRDefault="007E6DC6" w:rsidP="007E6DC6">
      <w:pPr>
        <w:spacing w:line="620" w:lineRule="exact"/>
        <w:ind w:firstLineChars="200" w:firstLine="640"/>
        <w:rPr>
          <w:sz w:val="32"/>
        </w:rPr>
      </w:pPr>
      <w:r w:rsidRPr="00804386">
        <w:rPr>
          <w:rFonts w:ascii="黑体" w:eastAsia="黑体" w:hAnsi="黑体" w:hint="eastAsia"/>
          <w:sz w:val="32"/>
        </w:rPr>
        <w:t>第十四条</w:t>
      </w:r>
      <w:r w:rsidRPr="00804386">
        <w:rPr>
          <w:rFonts w:eastAsia="仿宋_GB2312" w:hint="eastAsia"/>
          <w:sz w:val="32"/>
        </w:rPr>
        <w:t>摄像头安装应满足以下要求</w:t>
      </w:r>
      <w:r w:rsidRPr="00804386">
        <w:rPr>
          <w:rFonts w:ascii="MS Gothic" w:hAnsi="MS Gothic" w:cs="MS Gothic" w:hint="eastAsia"/>
          <w:sz w:val="32"/>
        </w:rPr>
        <w:t>：</w:t>
      </w:r>
    </w:p>
    <w:p w:rsidR="007E6DC6" w:rsidRPr="00804386" w:rsidRDefault="007E6DC6" w:rsidP="007E6DC6">
      <w:pPr>
        <w:spacing w:line="620" w:lineRule="exact"/>
        <w:ind w:firstLineChars="200" w:firstLine="640"/>
        <w:rPr>
          <w:rFonts w:eastAsia="仿宋_GB2312"/>
          <w:sz w:val="32"/>
        </w:rPr>
      </w:pPr>
      <w:r w:rsidRPr="00804386">
        <w:rPr>
          <w:rFonts w:eastAsia="仿宋_GB2312" w:hint="eastAsia"/>
          <w:sz w:val="32"/>
        </w:rPr>
        <w:t>（一）粗加工区，可以看到该区域的卫生状况，原料洗涤水池的标识和使用，员工的清洗和切配，食品上架分类存放等情况；</w:t>
      </w:r>
    </w:p>
    <w:p w:rsidR="007E6DC6" w:rsidRPr="00804386" w:rsidRDefault="007E6DC6" w:rsidP="007E6DC6">
      <w:pPr>
        <w:spacing w:line="620" w:lineRule="exact"/>
        <w:ind w:firstLineChars="200" w:firstLine="640"/>
        <w:rPr>
          <w:rFonts w:eastAsia="仿宋_GB2312"/>
          <w:sz w:val="32"/>
        </w:rPr>
      </w:pPr>
      <w:r w:rsidRPr="00804386">
        <w:rPr>
          <w:rFonts w:eastAsia="仿宋_GB2312" w:hint="eastAsia"/>
          <w:sz w:val="32"/>
        </w:rPr>
        <w:t>（二）烹调区，可以看到地面、工作台面和设备设施干净整洁程度，员工穿戴工作衣帽情况，直接入口食品、半成品、食品原料分类存放，</w:t>
      </w:r>
      <w:r w:rsidRPr="00567FD6">
        <w:rPr>
          <w:rFonts w:eastAsia="仿宋_GB2312" w:hint="eastAsia"/>
          <w:sz w:val="32"/>
        </w:rPr>
        <w:t>食品加工</w:t>
      </w:r>
      <w:r>
        <w:rPr>
          <w:rFonts w:eastAsia="仿宋_GB2312" w:hint="eastAsia"/>
          <w:sz w:val="32"/>
        </w:rPr>
        <w:t>工</w:t>
      </w:r>
      <w:r w:rsidRPr="00567FD6">
        <w:rPr>
          <w:rFonts w:eastAsia="仿宋_GB2312" w:hint="eastAsia"/>
          <w:sz w:val="32"/>
        </w:rPr>
        <w:t>用具</w:t>
      </w:r>
      <w:r w:rsidRPr="00804386">
        <w:rPr>
          <w:rFonts w:eastAsia="仿宋_GB2312" w:hint="eastAsia"/>
          <w:sz w:val="32"/>
        </w:rPr>
        <w:t>标示明显、分开存放等情况；</w:t>
      </w:r>
    </w:p>
    <w:p w:rsidR="007E6DC6" w:rsidRPr="00804386" w:rsidRDefault="007E6DC6" w:rsidP="007E6DC6">
      <w:pPr>
        <w:spacing w:line="620" w:lineRule="exact"/>
        <w:ind w:firstLineChars="200" w:firstLine="640"/>
        <w:rPr>
          <w:rFonts w:eastAsia="仿宋_GB2312"/>
          <w:sz w:val="32"/>
        </w:rPr>
      </w:pPr>
      <w:r w:rsidRPr="00804386">
        <w:rPr>
          <w:rFonts w:eastAsia="仿宋_GB2312" w:hint="eastAsia"/>
          <w:sz w:val="32"/>
        </w:rPr>
        <w:t>（三）</w:t>
      </w:r>
      <w:r w:rsidRPr="00567FD6">
        <w:rPr>
          <w:rFonts w:eastAsia="仿宋_GB2312" w:hint="eastAsia"/>
          <w:color w:val="000000"/>
          <w:sz w:val="32"/>
        </w:rPr>
        <w:t>专间</w:t>
      </w:r>
      <w:r w:rsidRPr="00804386">
        <w:rPr>
          <w:rFonts w:eastAsia="仿宋_GB2312" w:hint="eastAsia"/>
          <w:sz w:val="32"/>
        </w:rPr>
        <w:t>（专用操作区域），可以看到预</w:t>
      </w:r>
      <w:r w:rsidRPr="00567FD6">
        <w:rPr>
          <w:rFonts w:eastAsia="仿宋_GB2312" w:hint="eastAsia"/>
          <w:color w:val="000000"/>
          <w:sz w:val="32"/>
        </w:rPr>
        <w:t>进</w:t>
      </w:r>
      <w:r w:rsidRPr="00804386">
        <w:rPr>
          <w:rFonts w:eastAsia="仿宋_GB2312" w:hint="eastAsia"/>
          <w:sz w:val="32"/>
        </w:rPr>
        <w:t>间的门、紫外线灯、专间温度，地面、工作台面和设备设施干净整洁程度，员工穿戴工作衣帽情况，食品加工过程；</w:t>
      </w:r>
    </w:p>
    <w:p w:rsidR="007E6DC6" w:rsidRPr="00804386" w:rsidRDefault="007E6DC6" w:rsidP="007E6DC6">
      <w:pPr>
        <w:spacing w:line="620" w:lineRule="exact"/>
        <w:ind w:firstLineChars="200" w:firstLine="640"/>
        <w:rPr>
          <w:rFonts w:eastAsia="仿宋_GB2312"/>
          <w:sz w:val="32"/>
        </w:rPr>
      </w:pPr>
      <w:r w:rsidRPr="00804386">
        <w:rPr>
          <w:rFonts w:eastAsia="仿宋_GB2312" w:hint="eastAsia"/>
          <w:sz w:val="32"/>
        </w:rPr>
        <w:t>（四）清洗消毒间，可以看到餐饮具回收、清洗、消毒、保洁等过程。</w:t>
      </w:r>
    </w:p>
    <w:p w:rsidR="007E6DC6" w:rsidRPr="00804386" w:rsidRDefault="007E6DC6" w:rsidP="007E6DC6">
      <w:pPr>
        <w:spacing w:line="620" w:lineRule="exact"/>
        <w:ind w:firstLineChars="200" w:firstLine="640"/>
        <w:rPr>
          <w:rFonts w:eastAsia="仿宋_GB2312"/>
          <w:sz w:val="32"/>
        </w:rPr>
      </w:pPr>
      <w:r w:rsidRPr="00804386">
        <w:rPr>
          <w:rFonts w:ascii="黑体" w:eastAsia="黑体" w:hAnsi="黑体" w:hint="eastAsia"/>
          <w:sz w:val="32"/>
        </w:rPr>
        <w:lastRenderedPageBreak/>
        <w:t>第十五条</w:t>
      </w:r>
      <w:r w:rsidRPr="00804386">
        <w:rPr>
          <w:rFonts w:eastAsia="仿宋_GB2312" w:hint="eastAsia"/>
          <w:sz w:val="32"/>
        </w:rPr>
        <w:t>餐饮服务提供者应当保证采集的视频数据能够清晰展示在就餐场所显示屏或上传至网络平台。视频资料保存不少于</w:t>
      </w:r>
      <w:r w:rsidRPr="00804386">
        <w:rPr>
          <w:rFonts w:eastAsia="仿宋_GB2312" w:hint="eastAsia"/>
          <w:sz w:val="32"/>
        </w:rPr>
        <w:t>7</w:t>
      </w:r>
      <w:r w:rsidRPr="00804386">
        <w:rPr>
          <w:rFonts w:eastAsia="仿宋_GB2312" w:hint="eastAsia"/>
          <w:sz w:val="32"/>
        </w:rPr>
        <w:t>天。</w:t>
      </w:r>
    </w:p>
    <w:p w:rsidR="007E6DC6" w:rsidRPr="00804386" w:rsidRDefault="007E6DC6" w:rsidP="007E6DC6">
      <w:pPr>
        <w:spacing w:line="620" w:lineRule="exact"/>
        <w:ind w:firstLineChars="200" w:firstLine="640"/>
        <w:rPr>
          <w:rFonts w:eastAsia="仿宋_GB2312"/>
          <w:sz w:val="32"/>
        </w:rPr>
      </w:pPr>
      <w:r w:rsidRPr="00804386">
        <w:rPr>
          <w:rFonts w:ascii="黑体" w:eastAsia="黑体" w:hAnsi="黑体" w:hint="eastAsia"/>
          <w:sz w:val="32"/>
        </w:rPr>
        <w:t>第十六条</w:t>
      </w:r>
      <w:r w:rsidRPr="00804386">
        <w:rPr>
          <w:rFonts w:eastAsia="仿宋_GB2312" w:hint="eastAsia"/>
          <w:sz w:val="32"/>
        </w:rPr>
        <w:t>餐饮服务提供者一经启用视频展示设备，就应当保证在加工制作、就餐时间设备正常运行，在该时间段不得在展示设备改</w:t>
      </w:r>
      <w:r w:rsidRPr="00567FD6">
        <w:rPr>
          <w:rFonts w:eastAsia="仿宋_GB2312" w:hint="eastAsia"/>
          <w:color w:val="000000"/>
          <w:sz w:val="32"/>
        </w:rPr>
        <w:t>播</w:t>
      </w:r>
      <w:r w:rsidRPr="00804386">
        <w:rPr>
          <w:rFonts w:eastAsia="仿宋_GB2312" w:hint="eastAsia"/>
          <w:sz w:val="32"/>
        </w:rPr>
        <w:t>其他内容。</w:t>
      </w:r>
    </w:p>
    <w:p w:rsidR="007E6DC6" w:rsidRPr="00804386" w:rsidRDefault="007E6DC6" w:rsidP="007E6DC6">
      <w:pPr>
        <w:spacing w:line="620" w:lineRule="exact"/>
        <w:ind w:firstLineChars="200" w:firstLine="640"/>
        <w:rPr>
          <w:rFonts w:eastAsia="仿宋_GB2312"/>
          <w:sz w:val="32"/>
        </w:rPr>
      </w:pPr>
      <w:r w:rsidRPr="00804386">
        <w:rPr>
          <w:rFonts w:ascii="黑体" w:eastAsia="黑体" w:hAnsi="黑体" w:hint="eastAsia"/>
          <w:sz w:val="32"/>
        </w:rPr>
        <w:t>第十七条</w:t>
      </w:r>
      <w:r w:rsidRPr="00804386">
        <w:rPr>
          <w:rFonts w:eastAsia="仿宋_GB2312" w:hint="eastAsia"/>
          <w:sz w:val="32"/>
        </w:rPr>
        <w:t>餐饮服务提供者应当经常维护视频展示设备，一旦发现设备有不能正常使用的情况，应当及时维修。</w:t>
      </w:r>
    </w:p>
    <w:p w:rsidR="007E6DC6" w:rsidRPr="00804386" w:rsidRDefault="007E6DC6" w:rsidP="007E6DC6">
      <w:pPr>
        <w:spacing w:line="620" w:lineRule="exact"/>
        <w:ind w:firstLineChars="200" w:firstLine="640"/>
        <w:rPr>
          <w:rFonts w:eastAsia="仿宋_GB2312"/>
          <w:sz w:val="32"/>
        </w:rPr>
      </w:pPr>
      <w:r w:rsidRPr="00804386">
        <w:rPr>
          <w:rFonts w:ascii="黑体" w:eastAsia="黑体" w:hAnsi="黑体" w:hint="eastAsia"/>
          <w:sz w:val="32"/>
        </w:rPr>
        <w:t>第十八条</w:t>
      </w:r>
      <w:r w:rsidRPr="00804386">
        <w:rPr>
          <w:rFonts w:eastAsia="仿宋_GB2312" w:hint="eastAsia"/>
          <w:sz w:val="32"/>
        </w:rPr>
        <w:t>餐饮服务提供者实施明厨亮灶的，要加强内部管理，持续保持公开内容、公示信息真实、合规。</w:t>
      </w:r>
    </w:p>
    <w:p w:rsidR="007E6DC6" w:rsidRPr="00804386" w:rsidRDefault="007E6DC6" w:rsidP="007E6DC6">
      <w:pPr>
        <w:spacing w:line="620" w:lineRule="exact"/>
        <w:ind w:firstLineChars="200" w:firstLine="640"/>
        <w:rPr>
          <w:rFonts w:eastAsia="仿宋_GB2312"/>
          <w:sz w:val="32"/>
        </w:rPr>
      </w:pPr>
      <w:r w:rsidRPr="00804386">
        <w:rPr>
          <w:rFonts w:ascii="黑体" w:eastAsia="黑体" w:hAnsi="黑体" w:hint="eastAsia"/>
          <w:sz w:val="32"/>
        </w:rPr>
        <w:t>第十九条</w:t>
      </w:r>
      <w:r w:rsidRPr="00804386">
        <w:rPr>
          <w:rFonts w:eastAsia="仿宋_GB2312" w:hint="eastAsia"/>
          <w:sz w:val="32"/>
        </w:rPr>
        <w:t>餐饮服务提供者应当在餐厅醒目位置公布</w:t>
      </w:r>
      <w:r>
        <w:rPr>
          <w:rFonts w:eastAsia="仿宋_GB2312" w:hint="eastAsia"/>
          <w:sz w:val="32"/>
        </w:rPr>
        <w:t>食品药品监管</w:t>
      </w:r>
      <w:r w:rsidRPr="00804386">
        <w:rPr>
          <w:rFonts w:eastAsia="仿宋_GB2312" w:hint="eastAsia"/>
          <w:sz w:val="32"/>
        </w:rPr>
        <w:t>部门的举报电话</w:t>
      </w:r>
      <w:r w:rsidRPr="00804386">
        <w:rPr>
          <w:rFonts w:eastAsia="仿宋_GB2312" w:hint="eastAsia"/>
          <w:sz w:val="32"/>
        </w:rPr>
        <w:t>12331</w:t>
      </w:r>
      <w:r w:rsidRPr="00804386">
        <w:rPr>
          <w:rFonts w:eastAsia="仿宋_GB2312" w:hint="eastAsia"/>
          <w:sz w:val="32"/>
        </w:rPr>
        <w:t>。</w:t>
      </w:r>
    </w:p>
    <w:p w:rsidR="007E6DC6" w:rsidRPr="00804386" w:rsidRDefault="007E6DC6" w:rsidP="007E6DC6">
      <w:pPr>
        <w:spacing w:line="620" w:lineRule="exact"/>
        <w:ind w:firstLineChars="200" w:firstLine="640"/>
        <w:rPr>
          <w:rFonts w:eastAsia="仿宋_GB2312"/>
          <w:sz w:val="32"/>
        </w:rPr>
      </w:pPr>
      <w:r w:rsidRPr="00804386">
        <w:rPr>
          <w:rFonts w:ascii="黑体" w:eastAsia="黑体" w:hAnsi="黑体" w:hint="eastAsia"/>
          <w:sz w:val="32"/>
        </w:rPr>
        <w:t>第二十条</w:t>
      </w:r>
      <w:r w:rsidRPr="00804386">
        <w:rPr>
          <w:rFonts w:eastAsia="仿宋_GB2312" w:hint="eastAsia"/>
          <w:sz w:val="32"/>
        </w:rPr>
        <w:t>食品药品监管部门对餐饮服务提供者监督检查时，要对其明厨亮灶的情况进行检查，发现有违法违规行为的，依法调查处理。</w:t>
      </w:r>
    </w:p>
    <w:p w:rsidR="007E6DC6" w:rsidRPr="00804386" w:rsidRDefault="007E6DC6" w:rsidP="007E6DC6">
      <w:pPr>
        <w:spacing w:line="620" w:lineRule="exact"/>
        <w:ind w:firstLineChars="200" w:firstLine="640"/>
        <w:rPr>
          <w:rFonts w:eastAsia="仿宋_GB2312"/>
          <w:sz w:val="32"/>
        </w:rPr>
      </w:pPr>
      <w:r w:rsidRPr="00804386">
        <w:rPr>
          <w:rFonts w:ascii="黑体" w:eastAsia="黑体" w:hAnsi="黑体" w:hint="eastAsia"/>
          <w:sz w:val="32"/>
        </w:rPr>
        <w:t>第二十一条</w:t>
      </w:r>
      <w:r w:rsidRPr="00804386">
        <w:rPr>
          <w:rFonts w:eastAsia="仿宋_GB2312" w:hint="eastAsia"/>
          <w:sz w:val="32"/>
        </w:rPr>
        <w:t>社会公众通过餐饮服务提供者的明厨亮灶发现有违法违规行为的，可向食品药品监管部门举报。</w:t>
      </w:r>
    </w:p>
    <w:p w:rsidR="007E6DC6" w:rsidRPr="00804386" w:rsidRDefault="007E6DC6" w:rsidP="007E6DC6">
      <w:pPr>
        <w:spacing w:line="620" w:lineRule="exact"/>
        <w:ind w:firstLineChars="200" w:firstLine="640"/>
        <w:rPr>
          <w:rFonts w:eastAsia="仿宋_GB2312"/>
          <w:sz w:val="32"/>
        </w:rPr>
      </w:pPr>
      <w:r w:rsidRPr="00804386">
        <w:rPr>
          <w:rFonts w:eastAsia="仿宋_GB2312" w:hint="eastAsia"/>
          <w:sz w:val="32"/>
        </w:rPr>
        <w:t>食品药品监管部门对于社会公众投诉举报反映的线索，应当及时进行核查，查实属于违法行为的，及时依法处理，并反馈投诉举报人。</w:t>
      </w:r>
    </w:p>
    <w:p w:rsidR="007E6DC6" w:rsidRPr="00804386" w:rsidRDefault="007E6DC6" w:rsidP="007E6DC6">
      <w:pPr>
        <w:spacing w:line="620" w:lineRule="exact"/>
        <w:ind w:firstLineChars="200" w:firstLine="640"/>
        <w:rPr>
          <w:rFonts w:ascii="仿宋_GB2312" w:eastAsia="仿宋_GB2312"/>
          <w:color w:val="000000"/>
          <w:sz w:val="32"/>
          <w:szCs w:val="32"/>
        </w:rPr>
      </w:pPr>
      <w:r w:rsidRPr="00804386">
        <w:rPr>
          <w:rFonts w:ascii="黑体" w:eastAsia="黑体" w:hAnsi="黑体" w:hint="eastAsia"/>
          <w:sz w:val="32"/>
        </w:rPr>
        <w:t>第二十二条</w:t>
      </w:r>
      <w:r w:rsidRPr="00804386">
        <w:rPr>
          <w:rFonts w:ascii="仿宋_GB2312" w:eastAsia="仿宋_GB2312" w:hint="eastAsia"/>
          <w:color w:val="000000"/>
          <w:sz w:val="32"/>
          <w:szCs w:val="32"/>
        </w:rPr>
        <w:t>各省、自治区、直辖市食品安全监管部门可结合</w:t>
      </w:r>
      <w:r w:rsidRPr="00804386">
        <w:rPr>
          <w:rFonts w:ascii="仿宋_GB2312" w:eastAsia="仿宋_GB2312" w:hint="eastAsia"/>
          <w:color w:val="000000"/>
          <w:sz w:val="32"/>
          <w:szCs w:val="32"/>
        </w:rPr>
        <w:lastRenderedPageBreak/>
        <w:t>本地实际，制定餐饮服务明厨亮灶工作实施方案或指导意见。</w:t>
      </w:r>
    </w:p>
    <w:p w:rsidR="007E6DC6" w:rsidRPr="00804386" w:rsidRDefault="007E6DC6" w:rsidP="007E6DC6">
      <w:pPr>
        <w:adjustRightInd w:val="0"/>
        <w:snapToGrid w:val="0"/>
        <w:spacing w:line="620" w:lineRule="exact"/>
        <w:ind w:firstLineChars="200" w:firstLine="640"/>
        <w:rPr>
          <w:rFonts w:eastAsia="仿宋_GB2312"/>
          <w:sz w:val="32"/>
        </w:rPr>
      </w:pPr>
      <w:r w:rsidRPr="00804386">
        <w:rPr>
          <w:rFonts w:ascii="黑体" w:eastAsia="黑体" w:hAnsi="黑体" w:hint="eastAsia"/>
          <w:sz w:val="32"/>
        </w:rPr>
        <w:t>第二十三条</w:t>
      </w:r>
      <w:r w:rsidRPr="00804386">
        <w:rPr>
          <w:rFonts w:ascii="仿宋_GB2312" w:eastAsia="仿宋_GB2312" w:hint="eastAsia"/>
          <w:color w:val="000000"/>
          <w:sz w:val="32"/>
          <w:szCs w:val="32"/>
        </w:rPr>
        <w:t>本办法自发布之日起施行</w:t>
      </w:r>
      <w:r w:rsidRPr="00804386">
        <w:rPr>
          <w:rFonts w:eastAsia="仿宋_GB2312" w:hint="eastAsia"/>
          <w:sz w:val="32"/>
        </w:rPr>
        <w:t>。</w:t>
      </w:r>
    </w:p>
    <w:p w:rsidR="007E6DC6" w:rsidRPr="00804386" w:rsidRDefault="007E6DC6" w:rsidP="007E6DC6">
      <w:pPr>
        <w:rPr>
          <w:rFonts w:ascii="方正仿宋简体" w:eastAsia="方正仿宋简体" w:hAnsi="宋体"/>
          <w:sz w:val="32"/>
          <w:szCs w:val="32"/>
        </w:rPr>
      </w:pPr>
    </w:p>
    <w:p w:rsidR="00260F91" w:rsidRPr="007E6DC6" w:rsidRDefault="00260F91">
      <w:bookmarkStart w:id="0" w:name="_GoBack"/>
      <w:bookmarkEnd w:id="0"/>
    </w:p>
    <w:sectPr w:rsidR="00260F91" w:rsidRPr="007E6DC6" w:rsidSect="00A17F3B">
      <w:footerReference w:type="even" r:id="rId6"/>
      <w:footerReference w:type="default" r:id="rId7"/>
      <w:pgSz w:w="11906" w:h="16838" w:code="9"/>
      <w:pgMar w:top="1928" w:right="1531" w:bottom="1814" w:left="1531" w:header="851" w:footer="1247"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D82" w:rsidRDefault="00260D82" w:rsidP="007E6DC6">
      <w:r>
        <w:separator/>
      </w:r>
    </w:p>
  </w:endnote>
  <w:endnote w:type="continuationSeparator" w:id="1">
    <w:p w:rsidR="00260D82" w:rsidRDefault="00260D82" w:rsidP="007E6D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9C" w:rsidRPr="00A17F3B" w:rsidRDefault="007E6DC6">
    <w:pPr>
      <w:pStyle w:val="a4"/>
      <w:rPr>
        <w:sz w:val="28"/>
        <w:szCs w:val="28"/>
      </w:rPr>
    </w:pPr>
    <w:r w:rsidRPr="00A17F3B">
      <w:rPr>
        <w:rFonts w:hint="eastAsia"/>
        <w:color w:val="FFFFFF"/>
        <w:sz w:val="28"/>
        <w:szCs w:val="28"/>
      </w:rPr>
      <w:t>—</w:t>
    </w:r>
    <w:r w:rsidRPr="00A17F3B">
      <w:rPr>
        <w:rFonts w:hint="eastAsia"/>
        <w:sz w:val="28"/>
        <w:szCs w:val="28"/>
      </w:rPr>
      <w:t>—</w:t>
    </w:r>
    <w:r w:rsidR="00515EC9" w:rsidRPr="00A17F3B">
      <w:rPr>
        <w:sz w:val="28"/>
        <w:szCs w:val="28"/>
      </w:rPr>
      <w:fldChar w:fldCharType="begin"/>
    </w:r>
    <w:r w:rsidRPr="00A17F3B">
      <w:rPr>
        <w:sz w:val="28"/>
        <w:szCs w:val="28"/>
      </w:rPr>
      <w:instrText>PAGE   \* MERGEFORMAT</w:instrText>
    </w:r>
    <w:r w:rsidR="00515EC9" w:rsidRPr="00A17F3B">
      <w:rPr>
        <w:sz w:val="28"/>
        <w:szCs w:val="28"/>
      </w:rPr>
      <w:fldChar w:fldCharType="separate"/>
    </w:r>
    <w:r w:rsidRPr="0009286B">
      <w:rPr>
        <w:noProof/>
        <w:sz w:val="28"/>
        <w:szCs w:val="28"/>
        <w:lang w:val="zh-CN"/>
      </w:rPr>
      <w:t>6</w:t>
    </w:r>
    <w:r w:rsidR="00515EC9" w:rsidRPr="00A17F3B">
      <w:rPr>
        <w:sz w:val="28"/>
        <w:szCs w:val="28"/>
      </w:rPr>
      <w:fldChar w:fldCharType="end"/>
    </w:r>
    <w:r w:rsidRPr="00A17F3B">
      <w:rPr>
        <w:rFonts w:hint="eastAsia"/>
        <w:sz w:val="28"/>
        <w:szCs w:val="28"/>
      </w:rPr>
      <w:t>—</w:t>
    </w:r>
  </w:p>
  <w:p w:rsidR="0078019C" w:rsidRDefault="00260D82">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19C" w:rsidRPr="00A17F3B" w:rsidRDefault="007E6DC6" w:rsidP="00A17F3B">
    <w:pPr>
      <w:pStyle w:val="a4"/>
      <w:wordWrap w:val="0"/>
      <w:jc w:val="right"/>
      <w:rPr>
        <w:sz w:val="28"/>
        <w:szCs w:val="28"/>
      </w:rPr>
    </w:pPr>
    <w:r w:rsidRPr="00A17F3B">
      <w:rPr>
        <w:rFonts w:hint="eastAsia"/>
        <w:sz w:val="28"/>
        <w:szCs w:val="28"/>
      </w:rPr>
      <w:t>—</w:t>
    </w:r>
    <w:r w:rsidR="00515EC9" w:rsidRPr="00A17F3B">
      <w:rPr>
        <w:sz w:val="28"/>
        <w:szCs w:val="28"/>
      </w:rPr>
      <w:fldChar w:fldCharType="begin"/>
    </w:r>
    <w:r w:rsidRPr="00A17F3B">
      <w:rPr>
        <w:sz w:val="28"/>
        <w:szCs w:val="28"/>
      </w:rPr>
      <w:instrText>PAGE   \* MERGEFORMAT</w:instrText>
    </w:r>
    <w:r w:rsidR="00515EC9" w:rsidRPr="00A17F3B">
      <w:rPr>
        <w:sz w:val="28"/>
        <w:szCs w:val="28"/>
      </w:rPr>
      <w:fldChar w:fldCharType="separate"/>
    </w:r>
    <w:r w:rsidR="00B8183A" w:rsidRPr="00B8183A">
      <w:rPr>
        <w:noProof/>
        <w:sz w:val="28"/>
        <w:szCs w:val="28"/>
        <w:lang w:val="zh-CN"/>
      </w:rPr>
      <w:t>5</w:t>
    </w:r>
    <w:r w:rsidR="00515EC9" w:rsidRPr="00A17F3B">
      <w:rPr>
        <w:sz w:val="28"/>
        <w:szCs w:val="28"/>
      </w:rPr>
      <w:fldChar w:fldCharType="end"/>
    </w:r>
    <w:r w:rsidRPr="00A17F3B">
      <w:rPr>
        <w:rFonts w:hint="eastAsia"/>
        <w:sz w:val="28"/>
        <w:szCs w:val="28"/>
      </w:rPr>
      <w:t>—</w:t>
    </w:r>
    <w:r w:rsidRPr="00A17F3B">
      <w:rPr>
        <w:rFonts w:hint="eastAsia"/>
        <w:color w:val="FFFFFF"/>
        <w:sz w:val="28"/>
        <w:szCs w:val="28"/>
      </w:rPr>
      <w:t>—</w:t>
    </w:r>
  </w:p>
  <w:p w:rsidR="0078019C" w:rsidRDefault="00260D82">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D82" w:rsidRDefault="00260D82" w:rsidP="007E6DC6">
      <w:r>
        <w:separator/>
      </w:r>
    </w:p>
  </w:footnote>
  <w:footnote w:type="continuationSeparator" w:id="1">
    <w:p w:rsidR="00260D82" w:rsidRDefault="00260D82" w:rsidP="007E6DC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0BE1"/>
    <w:rsid w:val="00260D82"/>
    <w:rsid w:val="00260F91"/>
    <w:rsid w:val="00440BE1"/>
    <w:rsid w:val="00515EC9"/>
    <w:rsid w:val="007E6DC6"/>
    <w:rsid w:val="00B8183A"/>
    <w:rsid w:val="00CF59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D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6D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E6DC6"/>
    <w:rPr>
      <w:sz w:val="18"/>
      <w:szCs w:val="18"/>
    </w:rPr>
  </w:style>
  <w:style w:type="paragraph" w:styleId="a4">
    <w:name w:val="footer"/>
    <w:basedOn w:val="a"/>
    <w:link w:val="Char0"/>
    <w:uiPriority w:val="99"/>
    <w:unhideWhenUsed/>
    <w:rsid w:val="007E6D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E6DC6"/>
    <w:rPr>
      <w:sz w:val="18"/>
      <w:szCs w:val="18"/>
    </w:rPr>
  </w:style>
  <w:style w:type="character" w:styleId="a5">
    <w:name w:val="Hyperlink"/>
    <w:rsid w:val="007E6DC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DC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6DC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E6DC6"/>
    <w:rPr>
      <w:sz w:val="18"/>
      <w:szCs w:val="18"/>
    </w:rPr>
  </w:style>
  <w:style w:type="paragraph" w:styleId="a4">
    <w:name w:val="footer"/>
    <w:basedOn w:val="a"/>
    <w:link w:val="Char0"/>
    <w:uiPriority w:val="99"/>
    <w:unhideWhenUsed/>
    <w:rsid w:val="007E6DC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E6DC6"/>
    <w:rPr>
      <w:sz w:val="18"/>
      <w:szCs w:val="18"/>
    </w:rPr>
  </w:style>
  <w:style w:type="character" w:styleId="a5">
    <w:name w:val="Hyperlink"/>
    <w:rsid w:val="007E6DC6"/>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262</Words>
  <Characters>1497</Characters>
  <Application>Microsoft Office Word</Application>
  <DocSecurity>0</DocSecurity>
  <Lines>12</Lines>
  <Paragraphs>3</Paragraphs>
  <ScaleCrop>false</ScaleCrop>
  <Company>CFDA</Company>
  <LinksUpToDate>false</LinksUpToDate>
  <CharactersWithSpaces>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严玥</dc:creator>
  <cp:lastModifiedBy>wxl</cp:lastModifiedBy>
  <cp:revision>2</cp:revision>
  <dcterms:created xsi:type="dcterms:W3CDTF">2017-12-27T08:29:00Z</dcterms:created>
  <dcterms:modified xsi:type="dcterms:W3CDTF">2017-12-27T08:29:00Z</dcterms:modified>
</cp:coreProperties>
</file>