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6C" w:rsidRDefault="00AB40ED">
      <w:pPr>
        <w:rPr>
          <w:rFonts w:ascii="宋体" w:eastAsia="宋体" w:hAnsi="宋体" w:cs="宋体"/>
          <w:bCs/>
          <w:kern w:val="0"/>
          <w:sz w:val="24"/>
        </w:rPr>
      </w:pPr>
      <w:r>
        <w:rPr>
          <w:rFonts w:hint="eastAsia"/>
          <w:sz w:val="28"/>
          <w:szCs w:val="36"/>
        </w:rPr>
        <w:t>1M</w:t>
      </w:r>
      <w:r>
        <w:rPr>
          <w:rFonts w:hint="eastAsia"/>
          <w:sz w:val="28"/>
          <w:szCs w:val="36"/>
        </w:rPr>
        <w:t>³</w:t>
      </w:r>
      <w:r>
        <w:rPr>
          <w:rFonts w:hint="eastAsia"/>
          <w:sz w:val="28"/>
          <w:szCs w:val="36"/>
        </w:rPr>
        <w:t xml:space="preserve"> VOC</w:t>
      </w:r>
      <w:r>
        <w:rPr>
          <w:rFonts w:hint="eastAsia"/>
          <w:sz w:val="28"/>
          <w:szCs w:val="36"/>
        </w:rPr>
        <w:t>环境气候箱</w:t>
      </w:r>
    </w:p>
    <w:p w:rsidR="00E9176C" w:rsidRDefault="00AB40ED">
      <w:pPr>
        <w:rPr>
          <w:rFonts w:ascii="宋体" w:eastAsia="宋体" w:hAnsi="宋体" w:cs="宋体"/>
          <w:bCs/>
          <w:kern w:val="0"/>
          <w:sz w:val="24"/>
        </w:rPr>
      </w:pPr>
      <w:r>
        <w:rPr>
          <w:rFonts w:ascii="宋体" w:eastAsia="宋体" w:hAnsi="宋体" w:cs="宋体" w:hint="eastAsia"/>
          <w:bCs/>
          <w:kern w:val="0"/>
          <w:sz w:val="24"/>
        </w:rPr>
        <w:t>FYQHX-3</w:t>
      </w:r>
    </w:p>
    <w:p w:rsidR="00E9176C" w:rsidRDefault="00AB40ED">
      <w:pPr>
        <w:jc w:val="center"/>
        <w:rPr>
          <w:rFonts w:ascii="宋体" w:eastAsia="宋体" w:hAnsi="宋体" w:cs="宋体"/>
          <w:bCs/>
          <w:kern w:val="0"/>
          <w:sz w:val="24"/>
        </w:rPr>
      </w:pPr>
      <w:r>
        <w:rPr>
          <w:rFonts w:ascii="宋体" w:eastAsia="宋体" w:hAnsi="宋体" w:cs="宋体" w:hint="eastAsia"/>
          <w:bCs/>
          <w:noProof/>
          <w:kern w:val="0"/>
          <w:sz w:val="24"/>
        </w:rPr>
        <w:drawing>
          <wp:inline distT="0" distB="0" distL="114300" distR="114300">
            <wp:extent cx="3131820" cy="3154680"/>
            <wp:effectExtent l="0" t="0" r="11430" b="7620"/>
            <wp:docPr id="2" name="图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
                    <pic:cNvPicPr>
                      <a:picLocks noChangeAspect="1"/>
                    </pic:cNvPicPr>
                  </pic:nvPicPr>
                  <pic:blipFill>
                    <a:blip r:embed="rId8" cstate="print"/>
                    <a:stretch>
                      <a:fillRect/>
                    </a:stretch>
                  </pic:blipFill>
                  <pic:spPr>
                    <a:xfrm>
                      <a:off x="0" y="0"/>
                      <a:ext cx="3131820" cy="3154680"/>
                    </a:xfrm>
                    <a:prstGeom prst="rect">
                      <a:avLst/>
                    </a:prstGeom>
                  </pic:spPr>
                </pic:pic>
              </a:graphicData>
            </a:graphic>
          </wp:inline>
        </w:drawing>
      </w:r>
    </w:p>
    <w:p w:rsidR="00E9176C" w:rsidRDefault="00E9176C">
      <w:pPr>
        <w:spacing w:line="400" w:lineRule="exact"/>
        <w:ind w:firstLineChars="200" w:firstLine="440"/>
        <w:rPr>
          <w:rFonts w:ascii="宋体" w:hAnsi="宋体"/>
          <w:sz w:val="22"/>
          <w:szCs w:val="22"/>
        </w:rPr>
      </w:pPr>
    </w:p>
    <w:p w:rsidR="00E9176C" w:rsidRDefault="00AB40ED">
      <w:pPr>
        <w:spacing w:line="360" w:lineRule="auto"/>
        <w:rPr>
          <w:b/>
          <w:bCs/>
          <w:sz w:val="24"/>
          <w:szCs w:val="28"/>
        </w:rPr>
      </w:pPr>
      <w:r>
        <w:rPr>
          <w:rFonts w:hint="eastAsia"/>
          <w:b/>
          <w:bCs/>
          <w:sz w:val="24"/>
          <w:szCs w:val="28"/>
        </w:rPr>
        <w:t>产品特点</w:t>
      </w:r>
    </w:p>
    <w:p w:rsidR="00E9176C" w:rsidRDefault="00AB40ED">
      <w:pPr>
        <w:spacing w:line="480" w:lineRule="exact"/>
        <w:jc w:val="left"/>
        <w:rPr>
          <w:rFonts w:ascii="宋体" w:eastAsia="宋体" w:hAnsi="宋体" w:cs="宋体"/>
          <w:sz w:val="22"/>
          <w:szCs w:val="22"/>
        </w:rPr>
      </w:pPr>
      <w:r>
        <w:rPr>
          <w:rFonts w:ascii="宋体" w:eastAsia="宋体" w:hAnsi="宋体" w:cs="宋体" w:hint="eastAsia"/>
          <w:sz w:val="22"/>
          <w:szCs w:val="22"/>
        </w:rPr>
        <w:t>1. 进气气体过滤系统：进入箱体的空气首先要经过四级TVOC过滤系统、再到淋水塔充分水洗后进入实验箱、确保实验箱内空气中甲醛本底值和其他气体的本底值。</w:t>
      </w:r>
    </w:p>
    <w:p w:rsidR="00E9176C" w:rsidRDefault="00AB40ED">
      <w:pPr>
        <w:numPr>
          <w:ilvl w:val="0"/>
          <w:numId w:val="1"/>
        </w:numPr>
        <w:spacing w:line="480" w:lineRule="exact"/>
        <w:jc w:val="left"/>
        <w:rPr>
          <w:rFonts w:ascii="宋体" w:eastAsia="宋体" w:hAnsi="宋体" w:cs="宋体"/>
          <w:sz w:val="22"/>
          <w:szCs w:val="22"/>
        </w:rPr>
      </w:pPr>
      <w:r>
        <w:rPr>
          <w:rFonts w:ascii="宋体" w:eastAsia="宋体" w:hAnsi="宋体" w:cs="宋体" w:hint="eastAsia"/>
          <w:sz w:val="22"/>
          <w:szCs w:val="22"/>
        </w:rPr>
        <w:t>快速露点温度控制湿度法：实验</w:t>
      </w:r>
      <w:proofErr w:type="gramStart"/>
      <w:r>
        <w:rPr>
          <w:rFonts w:ascii="宋体" w:eastAsia="宋体" w:hAnsi="宋体" w:cs="宋体" w:hint="eastAsia"/>
          <w:sz w:val="22"/>
          <w:szCs w:val="22"/>
        </w:rPr>
        <w:t>箱通过水浴淋</w:t>
      </w:r>
      <w:proofErr w:type="gramEnd"/>
      <w:r>
        <w:rPr>
          <w:rFonts w:ascii="宋体" w:eastAsia="宋体" w:hAnsi="宋体" w:cs="宋体" w:hint="eastAsia"/>
          <w:sz w:val="22"/>
          <w:szCs w:val="22"/>
        </w:rPr>
        <w:t>水塔水洗后的饱和气体进入到温度更高的环境下、达到恒温恒湿的状态, 确保气候箱内壁不产生水珠, 保证检测数据可靠准确。</w:t>
      </w:r>
    </w:p>
    <w:p w:rsidR="00E9176C" w:rsidRDefault="00AB40ED">
      <w:pPr>
        <w:numPr>
          <w:ilvl w:val="0"/>
          <w:numId w:val="1"/>
        </w:numPr>
        <w:spacing w:line="480" w:lineRule="exact"/>
        <w:jc w:val="left"/>
        <w:rPr>
          <w:rFonts w:ascii="宋体" w:eastAsia="宋体" w:hAnsi="宋体" w:cs="宋体"/>
          <w:sz w:val="22"/>
          <w:szCs w:val="22"/>
        </w:rPr>
      </w:pPr>
      <w:r>
        <w:rPr>
          <w:rFonts w:ascii="宋体" w:eastAsia="宋体" w:hAnsi="宋体" w:cs="宋体" w:hint="eastAsia"/>
          <w:sz w:val="22"/>
          <w:szCs w:val="22"/>
        </w:rPr>
        <w:t>高效雾化喷淋系统：</w:t>
      </w:r>
      <w:proofErr w:type="gramStart"/>
      <w:r>
        <w:rPr>
          <w:rFonts w:ascii="宋体" w:eastAsia="宋体" w:hAnsi="宋体" w:cs="宋体" w:hint="eastAsia"/>
          <w:sz w:val="22"/>
          <w:szCs w:val="22"/>
        </w:rPr>
        <w:t>淋</w:t>
      </w:r>
      <w:proofErr w:type="gramEnd"/>
      <w:r>
        <w:rPr>
          <w:rFonts w:ascii="宋体" w:eastAsia="宋体" w:hAnsi="宋体" w:cs="宋体" w:hint="eastAsia"/>
          <w:sz w:val="22"/>
          <w:szCs w:val="22"/>
        </w:rPr>
        <w:t>水塔喷淋系统采用高速雾化喷淋, 循环水经过喷淋后喷淋雾化效果良好, 与内部空气</w:t>
      </w:r>
      <w:proofErr w:type="gramStart"/>
      <w:r>
        <w:rPr>
          <w:rFonts w:ascii="宋体" w:eastAsia="宋体" w:hAnsi="宋体" w:cs="宋体" w:hint="eastAsia"/>
          <w:sz w:val="22"/>
          <w:szCs w:val="22"/>
        </w:rPr>
        <w:t>全面积</w:t>
      </w:r>
      <w:proofErr w:type="gramEnd"/>
      <w:r>
        <w:rPr>
          <w:rFonts w:ascii="宋体" w:eastAsia="宋体" w:hAnsi="宋体" w:cs="宋体" w:hint="eastAsia"/>
          <w:sz w:val="22"/>
          <w:szCs w:val="22"/>
        </w:rPr>
        <w:t>混合, 达到最佳饱和度, 从而使经过淋水处理后湿度</w:t>
      </w:r>
      <w:proofErr w:type="gramStart"/>
      <w:r>
        <w:rPr>
          <w:rFonts w:ascii="宋体" w:eastAsia="宋体" w:hAnsi="宋体" w:cs="宋体" w:hint="eastAsia"/>
          <w:sz w:val="22"/>
          <w:szCs w:val="22"/>
        </w:rPr>
        <w:t>接达到</w:t>
      </w:r>
      <w:proofErr w:type="gramEnd"/>
      <w:r>
        <w:rPr>
          <w:rFonts w:ascii="宋体" w:eastAsia="宋体" w:hAnsi="宋体" w:cs="宋体" w:hint="eastAsia"/>
          <w:sz w:val="22"/>
          <w:szCs w:val="22"/>
        </w:rPr>
        <w:t>100%,使得箱体内空气湿度迅速达到所需要的湿度。</w:t>
      </w:r>
    </w:p>
    <w:p w:rsidR="00E9176C" w:rsidRDefault="00AB40ED">
      <w:pPr>
        <w:numPr>
          <w:ilvl w:val="0"/>
          <w:numId w:val="1"/>
        </w:numPr>
        <w:spacing w:line="480" w:lineRule="exact"/>
        <w:jc w:val="left"/>
        <w:rPr>
          <w:rFonts w:ascii="宋体" w:eastAsia="宋体" w:hAnsi="宋体" w:cs="宋体"/>
          <w:sz w:val="22"/>
          <w:szCs w:val="22"/>
        </w:rPr>
      </w:pPr>
      <w:r>
        <w:rPr>
          <w:rFonts w:ascii="宋体" w:eastAsia="宋体" w:hAnsi="宋体" w:cs="宋体" w:hint="eastAsia"/>
          <w:sz w:val="22"/>
          <w:szCs w:val="22"/>
        </w:rPr>
        <w:t>箱体内空气温度稳定：采用</w:t>
      </w:r>
      <w:proofErr w:type="spellStart"/>
      <w:r>
        <w:rPr>
          <w:rFonts w:ascii="宋体" w:eastAsia="宋体" w:hAnsi="宋体" w:cs="宋体" w:hint="eastAsia"/>
          <w:sz w:val="22"/>
          <w:szCs w:val="22"/>
        </w:rPr>
        <w:t>PId</w:t>
      </w:r>
      <w:proofErr w:type="spellEnd"/>
      <w:r>
        <w:rPr>
          <w:rFonts w:ascii="宋体" w:eastAsia="宋体" w:hAnsi="宋体" w:cs="宋体" w:hint="eastAsia"/>
          <w:sz w:val="22"/>
          <w:szCs w:val="22"/>
        </w:rPr>
        <w:t>全自动高精度恒温水温循环方法与气候箱内空气进行热交换、达到控制环境箱内气体温度, 采用进口金属</w:t>
      </w:r>
      <w:proofErr w:type="gramStart"/>
      <w:r>
        <w:rPr>
          <w:rFonts w:ascii="宋体" w:eastAsia="宋体" w:hAnsi="宋体" w:cs="宋体" w:hint="eastAsia"/>
          <w:sz w:val="22"/>
          <w:szCs w:val="22"/>
        </w:rPr>
        <w:t>铂</w:t>
      </w:r>
      <w:proofErr w:type="gramEnd"/>
      <w:r>
        <w:rPr>
          <w:rFonts w:ascii="宋体" w:eastAsia="宋体" w:hAnsi="宋体" w:cs="宋体" w:hint="eastAsia"/>
          <w:sz w:val="22"/>
          <w:szCs w:val="22"/>
        </w:rPr>
        <w:t>电阻温度传感器测量箱体内温度, 精确度0.01度,同时使用寿命长。恒温水箱和淋水塔制冷采用进口的大功率制冷压缩机,制冷速度快，噪声值小于70dB。40</w:t>
      </w:r>
      <w:r>
        <w:rPr>
          <w:rFonts w:ascii="宋体" w:eastAsia="宋体" w:hAnsi="宋体" w:cs="宋体" w:hint="eastAsia"/>
          <w:color w:val="000000"/>
          <w:sz w:val="22"/>
          <w:szCs w:val="22"/>
          <w:shd w:val="clear" w:color="auto" w:fill="FFFFFF"/>
        </w:rPr>
        <w:t>4A无氟环保制冷剂、优质进口压缩机、运行稳定、使用寿命长。</w:t>
      </w:r>
    </w:p>
    <w:p w:rsidR="00E9176C" w:rsidRDefault="00AB40ED">
      <w:pPr>
        <w:spacing w:line="480" w:lineRule="exact"/>
        <w:jc w:val="left"/>
        <w:rPr>
          <w:rFonts w:ascii="宋体" w:eastAsia="宋体" w:hAnsi="宋体" w:cs="宋体"/>
          <w:sz w:val="22"/>
          <w:szCs w:val="22"/>
        </w:rPr>
      </w:pPr>
      <w:r>
        <w:rPr>
          <w:rFonts w:ascii="宋体" w:eastAsia="宋体" w:hAnsi="宋体" w:cs="宋体" w:hint="eastAsia"/>
          <w:sz w:val="22"/>
          <w:szCs w:val="22"/>
        </w:rPr>
        <w:t>5.智能微电脑全自动控温控湿：先进的PLC智能控制仪表可随意设定箱体的空气温度和</w:t>
      </w:r>
      <w:r>
        <w:rPr>
          <w:rFonts w:ascii="宋体" w:eastAsia="宋体" w:hAnsi="宋体" w:cs="宋体" w:hint="eastAsia"/>
          <w:sz w:val="22"/>
          <w:szCs w:val="22"/>
        </w:rPr>
        <w:lastRenderedPageBreak/>
        <w:t>露点温度值, 仪表采用点动加热方式, 加热和制冷切换频率最高可达到每秒6次, 温度波动范围在0.5度以内, 湿度波动范围2%, 完全达到标准要求。</w:t>
      </w:r>
    </w:p>
    <w:p w:rsidR="00E9176C" w:rsidRDefault="00AB40ED">
      <w:pPr>
        <w:spacing w:line="480" w:lineRule="exact"/>
        <w:jc w:val="left"/>
        <w:rPr>
          <w:rFonts w:ascii="宋体" w:eastAsia="宋体" w:hAnsi="宋体" w:cs="宋体"/>
          <w:sz w:val="22"/>
          <w:szCs w:val="22"/>
        </w:rPr>
      </w:pPr>
      <w:r>
        <w:rPr>
          <w:rFonts w:ascii="宋体" w:eastAsia="宋体" w:hAnsi="宋体" w:cs="宋体" w:hint="eastAsia"/>
          <w:sz w:val="22"/>
          <w:szCs w:val="22"/>
        </w:rPr>
        <w:t>6.箱体保温性好：聚胺</w:t>
      </w:r>
      <w:proofErr w:type="gramStart"/>
      <w:r>
        <w:rPr>
          <w:rFonts w:ascii="宋体" w:eastAsia="宋体" w:hAnsi="宋体" w:cs="宋体" w:hint="eastAsia"/>
          <w:sz w:val="22"/>
          <w:szCs w:val="22"/>
        </w:rPr>
        <w:t>酯</w:t>
      </w:r>
      <w:proofErr w:type="gramEnd"/>
      <w:r>
        <w:rPr>
          <w:rFonts w:ascii="宋体" w:eastAsia="宋体" w:hAnsi="宋体" w:cs="宋体" w:hint="eastAsia"/>
          <w:sz w:val="22"/>
          <w:szCs w:val="22"/>
        </w:rPr>
        <w:t>隔热材料一次发泡成型、绝热良好, 进口无醛硅胶密封条, 使箱体有极佳保温性和密封性。箱体内胆采用SUS304镜面不锈钢板无缝焊接, 表面光滑不结露, 不吸附甲醛和其他气体。</w:t>
      </w:r>
    </w:p>
    <w:p w:rsidR="00E9176C" w:rsidRDefault="00AB40ED">
      <w:pPr>
        <w:numPr>
          <w:ilvl w:val="0"/>
          <w:numId w:val="2"/>
        </w:numPr>
        <w:spacing w:line="480" w:lineRule="exact"/>
        <w:jc w:val="left"/>
        <w:rPr>
          <w:rFonts w:ascii="宋体" w:eastAsia="宋体" w:hAnsi="宋体" w:cs="宋体"/>
          <w:sz w:val="22"/>
          <w:szCs w:val="22"/>
        </w:rPr>
      </w:pPr>
      <w:r>
        <w:rPr>
          <w:rFonts w:ascii="宋体" w:eastAsia="宋体" w:hAnsi="宋体" w:cs="宋体" w:hint="eastAsia"/>
          <w:sz w:val="22"/>
          <w:szCs w:val="22"/>
        </w:rPr>
        <w:t>系统设有水位高低超限报警,恒温水箱和淋水塔高低水位防护系统, 以确保设备的安全运行。人性化水位模拟观察界面。水位状态一目了然。</w:t>
      </w:r>
    </w:p>
    <w:p w:rsidR="00E9176C" w:rsidRDefault="00AB40ED">
      <w:pPr>
        <w:numPr>
          <w:ilvl w:val="0"/>
          <w:numId w:val="2"/>
        </w:numPr>
        <w:spacing w:line="480" w:lineRule="exact"/>
        <w:jc w:val="left"/>
        <w:rPr>
          <w:rFonts w:ascii="宋体" w:eastAsia="宋体" w:hAnsi="宋体" w:cs="宋体"/>
          <w:sz w:val="22"/>
          <w:szCs w:val="22"/>
        </w:rPr>
      </w:pPr>
      <w:r>
        <w:rPr>
          <w:rFonts w:ascii="宋体" w:eastAsia="宋体" w:hAnsi="宋体" w:cs="宋体" w:hint="eastAsia"/>
          <w:sz w:val="22"/>
          <w:szCs w:val="22"/>
        </w:rPr>
        <w:t>多样化运行模式设定功能：气候箱配有多功能时间设定模式；可以设定正时计时状态,多种环境箱工作启动模式, 可满足不同客户对检测时间设置的各种需要。</w:t>
      </w:r>
    </w:p>
    <w:p w:rsidR="00E9176C" w:rsidRDefault="00AB40ED">
      <w:pPr>
        <w:spacing w:line="480" w:lineRule="exact"/>
        <w:jc w:val="left"/>
        <w:rPr>
          <w:rFonts w:ascii="宋体" w:eastAsia="宋体" w:hAnsi="宋体" w:cs="宋体"/>
          <w:sz w:val="22"/>
          <w:szCs w:val="22"/>
        </w:rPr>
      </w:pPr>
      <w:r>
        <w:rPr>
          <w:rFonts w:ascii="宋体" w:eastAsia="宋体" w:hAnsi="宋体" w:cs="宋体" w:hint="eastAsia"/>
          <w:sz w:val="22"/>
          <w:szCs w:val="22"/>
        </w:rPr>
        <w:t>9.气候箱内空气流量控制准确度高：为了达到箱体内空气混合流量的准确度, 采用高精度无极调速器控制风机、风量多级无极调节, 对应风量显示。实现调整控制。</w:t>
      </w:r>
    </w:p>
    <w:p w:rsidR="00E9176C" w:rsidRDefault="00AB40ED">
      <w:pPr>
        <w:numPr>
          <w:ilvl w:val="0"/>
          <w:numId w:val="3"/>
        </w:numPr>
        <w:spacing w:line="480" w:lineRule="exact"/>
        <w:jc w:val="left"/>
        <w:rPr>
          <w:rFonts w:ascii="宋体" w:eastAsia="宋体" w:hAnsi="宋体" w:cs="宋体"/>
          <w:sz w:val="22"/>
          <w:szCs w:val="22"/>
        </w:rPr>
      </w:pPr>
      <w:r>
        <w:rPr>
          <w:rFonts w:ascii="宋体" w:eastAsia="宋体" w:hAnsi="宋体" w:cs="宋体" w:hint="eastAsia"/>
          <w:sz w:val="22"/>
          <w:szCs w:val="22"/>
        </w:rPr>
        <w:t>三维一体的结构设计：智能控制室设计在</w:t>
      </w:r>
      <w:proofErr w:type="gramStart"/>
      <w:r>
        <w:rPr>
          <w:rFonts w:ascii="宋体" w:eastAsia="宋体" w:hAnsi="宋体" w:cs="宋体" w:hint="eastAsia"/>
          <w:sz w:val="22"/>
          <w:szCs w:val="22"/>
        </w:rPr>
        <w:t>工作舱左上面</w:t>
      </w:r>
      <w:proofErr w:type="gramEnd"/>
      <w:r>
        <w:rPr>
          <w:rFonts w:ascii="宋体" w:eastAsia="宋体" w:hAnsi="宋体" w:cs="宋体" w:hint="eastAsia"/>
          <w:sz w:val="22"/>
          <w:szCs w:val="22"/>
        </w:rPr>
        <w:t>、恒温恒湿系统设计在工作舱左下部。工作舱控制室和恒温恒湿系统互相独立又互为整体的结构设计方便设备的日常维护。</w:t>
      </w:r>
    </w:p>
    <w:p w:rsidR="00E9176C" w:rsidRDefault="00AB40ED">
      <w:pPr>
        <w:numPr>
          <w:ilvl w:val="0"/>
          <w:numId w:val="3"/>
        </w:numPr>
        <w:spacing w:line="480" w:lineRule="exact"/>
        <w:jc w:val="left"/>
        <w:rPr>
          <w:rFonts w:ascii="宋体" w:eastAsia="宋体" w:hAnsi="宋体" w:cs="宋体"/>
          <w:sz w:val="22"/>
          <w:szCs w:val="22"/>
        </w:rPr>
      </w:pPr>
      <w:r>
        <w:rPr>
          <w:rFonts w:ascii="宋体" w:eastAsia="宋体" w:hAnsi="宋体" w:cs="宋体" w:hint="eastAsia"/>
          <w:sz w:val="22"/>
          <w:szCs w:val="22"/>
        </w:rPr>
        <w:t>流量控制:供气计量采用高精度转子流量计, 精度不低于2.5m³/h,根据不同材料的试验自行调节气流量。</w:t>
      </w:r>
    </w:p>
    <w:p w:rsidR="00E9176C" w:rsidRDefault="00AB40ED">
      <w:pPr>
        <w:numPr>
          <w:ilvl w:val="0"/>
          <w:numId w:val="3"/>
        </w:numPr>
        <w:spacing w:line="480" w:lineRule="exact"/>
        <w:jc w:val="left"/>
        <w:rPr>
          <w:rFonts w:ascii="宋体" w:eastAsia="宋体" w:hAnsi="宋体" w:cs="宋体"/>
          <w:sz w:val="22"/>
          <w:szCs w:val="22"/>
        </w:rPr>
      </w:pPr>
      <w:r>
        <w:rPr>
          <w:rFonts w:ascii="宋体" w:eastAsia="宋体" w:hAnsi="宋体" w:cs="宋体" w:hint="eastAsia"/>
          <w:sz w:val="22"/>
          <w:szCs w:val="22"/>
        </w:rPr>
        <w:t>数据处理:数据备份功能,能保存300天内的工作数据（连续）可随时查询, 备份转存,设备提供有2个</w:t>
      </w:r>
      <w:proofErr w:type="spellStart"/>
      <w:r>
        <w:rPr>
          <w:rFonts w:ascii="宋体" w:eastAsia="宋体" w:hAnsi="宋体" w:cs="宋体" w:hint="eastAsia"/>
          <w:sz w:val="22"/>
          <w:szCs w:val="22"/>
        </w:rPr>
        <w:t>usb</w:t>
      </w:r>
      <w:proofErr w:type="spellEnd"/>
      <w:r>
        <w:rPr>
          <w:rFonts w:ascii="宋体" w:eastAsia="宋体" w:hAnsi="宋体" w:cs="宋体" w:hint="eastAsia"/>
          <w:sz w:val="22"/>
          <w:szCs w:val="22"/>
        </w:rPr>
        <w:t>接口并提供一个网络接口。（根据用户要求）</w:t>
      </w:r>
    </w:p>
    <w:p w:rsidR="00E9176C" w:rsidRDefault="00AB40ED">
      <w:pPr>
        <w:spacing w:line="480" w:lineRule="exact"/>
        <w:jc w:val="left"/>
        <w:rPr>
          <w:rFonts w:ascii="宋体" w:eastAsia="宋体" w:hAnsi="宋体" w:cs="宋体"/>
          <w:color w:val="000000"/>
          <w:sz w:val="22"/>
          <w:szCs w:val="22"/>
          <w:shd w:val="clear" w:color="auto" w:fill="FFFFFF"/>
        </w:rPr>
      </w:pPr>
      <w:r>
        <w:rPr>
          <w:rFonts w:ascii="宋体" w:eastAsia="宋体" w:hAnsi="宋体" w:cs="宋体" w:hint="eastAsia"/>
          <w:sz w:val="22"/>
          <w:szCs w:val="22"/>
        </w:rPr>
        <w:t>13.触摸屏系统：通过触摸屏来设置气候箱温度,湿度,露点温度,工作时间, 气体流量等参数；自动计算露点温度并自动控制露点温度；实时显示温度、湿度、时间等数据；存储和导出温度、湿度、时间等数据；历史故障查询,历史数据回放功能；权限设置预约开机等各种功能。</w:t>
      </w:r>
    </w:p>
    <w:p w:rsidR="00E9176C" w:rsidRDefault="00AB40ED">
      <w:pPr>
        <w:spacing w:line="480" w:lineRule="exact"/>
        <w:jc w:val="left"/>
        <w:rPr>
          <w:rFonts w:ascii="宋体" w:eastAsia="宋体" w:hAnsi="宋体" w:cs="宋体"/>
          <w:color w:val="000000"/>
          <w:sz w:val="22"/>
          <w:szCs w:val="22"/>
          <w:shd w:val="clear" w:color="auto" w:fill="FFFFFF"/>
        </w:rPr>
      </w:pPr>
      <w:r>
        <w:rPr>
          <w:rFonts w:ascii="宋体" w:eastAsia="宋体" w:hAnsi="宋体" w:cs="宋体" w:hint="eastAsia"/>
          <w:color w:val="000000"/>
          <w:sz w:val="22"/>
          <w:szCs w:val="22"/>
          <w:shd w:val="clear" w:color="auto" w:fill="FFFFFF"/>
        </w:rPr>
        <w:t>14.设备维护照明和箱内手动LED照明，方便实用。</w:t>
      </w:r>
    </w:p>
    <w:p w:rsidR="00E9176C" w:rsidRDefault="00AB40ED">
      <w:pPr>
        <w:spacing w:line="480" w:lineRule="exact"/>
        <w:jc w:val="left"/>
        <w:rPr>
          <w:rFonts w:ascii="宋体" w:eastAsia="宋体" w:hAnsi="宋体" w:cs="宋体"/>
          <w:color w:val="000000"/>
          <w:sz w:val="22"/>
          <w:szCs w:val="22"/>
          <w:shd w:val="clear" w:color="auto" w:fill="FFFFFF"/>
        </w:rPr>
      </w:pPr>
      <w:r>
        <w:rPr>
          <w:rFonts w:ascii="宋体" w:eastAsia="宋体" w:hAnsi="宋体" w:cs="宋体" w:hint="eastAsia"/>
          <w:color w:val="000000"/>
          <w:sz w:val="22"/>
          <w:szCs w:val="22"/>
          <w:shd w:val="clear" w:color="auto" w:fill="FFFFFF"/>
        </w:rPr>
        <w:t>15.快速湿度自动恒湿系统，第一次开机最快能在20-30分钟内达到湿度正常设定值。</w:t>
      </w:r>
    </w:p>
    <w:p w:rsidR="00E9176C" w:rsidRDefault="00E9176C">
      <w:pPr>
        <w:tabs>
          <w:tab w:val="left" w:pos="720"/>
        </w:tabs>
        <w:spacing w:line="360" w:lineRule="auto"/>
        <w:rPr>
          <w:rFonts w:ascii="宋体" w:hAnsi="宋体"/>
          <w:b/>
          <w:bCs/>
          <w:sz w:val="24"/>
          <w:szCs w:val="28"/>
        </w:rPr>
      </w:pPr>
    </w:p>
    <w:p w:rsidR="00E9176C" w:rsidRDefault="00AB40ED">
      <w:pPr>
        <w:tabs>
          <w:tab w:val="left" w:pos="720"/>
        </w:tabs>
        <w:spacing w:line="360" w:lineRule="auto"/>
        <w:rPr>
          <w:rFonts w:ascii="宋体" w:hAnsi="宋体"/>
          <w:sz w:val="24"/>
          <w:szCs w:val="28"/>
        </w:rPr>
      </w:pPr>
      <w:r>
        <w:rPr>
          <w:rFonts w:ascii="宋体" w:hAnsi="宋体" w:hint="eastAsia"/>
          <w:b/>
          <w:sz w:val="24"/>
          <w:szCs w:val="28"/>
        </w:rPr>
        <w:t>技术参数</w:t>
      </w:r>
    </w:p>
    <w:tbl>
      <w:tblPr>
        <w:tblpPr w:leftFromText="180" w:rightFromText="180" w:vertAnchor="text" w:horzAnchor="page" w:tblpX="1496" w:tblpY="15"/>
        <w:tblOverlap w:val="neve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3"/>
        <w:gridCol w:w="3887"/>
        <w:gridCol w:w="3014"/>
      </w:tblGrid>
      <w:tr w:rsidR="00E9176C">
        <w:trPr>
          <w:trHeight w:val="428"/>
        </w:trPr>
        <w:tc>
          <w:tcPr>
            <w:tcW w:w="2653" w:type="dxa"/>
            <w:vAlign w:val="center"/>
          </w:tcPr>
          <w:p w:rsidR="00E9176C" w:rsidRDefault="00E9176C">
            <w:pPr>
              <w:tabs>
                <w:tab w:val="left" w:pos="720"/>
              </w:tabs>
              <w:jc w:val="center"/>
              <w:rPr>
                <w:rFonts w:ascii="宋体" w:eastAsia="宋体" w:hAnsi="宋体" w:cs="宋体"/>
                <w:bCs/>
                <w:sz w:val="22"/>
                <w:szCs w:val="22"/>
              </w:rPr>
            </w:pP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恒温部分</w:t>
            </w:r>
          </w:p>
        </w:tc>
        <w:tc>
          <w:tcPr>
            <w:tcW w:w="3014"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控</w:t>
            </w:r>
            <w:proofErr w:type="gramStart"/>
            <w:r>
              <w:rPr>
                <w:rFonts w:ascii="宋体" w:eastAsia="宋体" w:hAnsi="宋体" w:cs="宋体" w:hint="eastAsia"/>
                <w:bCs/>
                <w:sz w:val="22"/>
                <w:szCs w:val="22"/>
              </w:rPr>
              <w:t>湿部分</w:t>
            </w:r>
            <w:proofErr w:type="gramEnd"/>
          </w:p>
        </w:tc>
      </w:tr>
      <w:tr w:rsidR="00E9176C">
        <w:trPr>
          <w:trHeight w:val="413"/>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电源</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AC220V/50Hz</w:t>
            </w:r>
          </w:p>
        </w:tc>
        <w:tc>
          <w:tcPr>
            <w:tcW w:w="3014"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AC220V/50Hz</w:t>
            </w:r>
          </w:p>
        </w:tc>
      </w:tr>
      <w:tr w:rsidR="00E9176C">
        <w:trPr>
          <w:trHeight w:val="408"/>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耗电量</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最大1000W</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r w:rsidR="00E9176C">
        <w:trPr>
          <w:trHeight w:val="423"/>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lastRenderedPageBreak/>
              <w:t>额定制热功率</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600W</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r w:rsidR="00E9176C">
        <w:trPr>
          <w:trHeight w:val="378"/>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额定制冷功率</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460W</w:t>
            </w:r>
          </w:p>
        </w:tc>
        <w:tc>
          <w:tcPr>
            <w:tcW w:w="3014"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460W</w:t>
            </w:r>
          </w:p>
        </w:tc>
      </w:tr>
      <w:tr w:rsidR="00E9176C">
        <w:trPr>
          <w:trHeight w:val="383"/>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水泵功率</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100W*2</w:t>
            </w:r>
          </w:p>
        </w:tc>
        <w:tc>
          <w:tcPr>
            <w:tcW w:w="3014"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100W</w:t>
            </w:r>
          </w:p>
        </w:tc>
      </w:tr>
      <w:tr w:rsidR="00E9176C">
        <w:trPr>
          <w:trHeight w:val="408"/>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电磁阀功率</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15W*3</w:t>
            </w:r>
          </w:p>
        </w:tc>
        <w:tc>
          <w:tcPr>
            <w:tcW w:w="3014"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15W*2</w:t>
            </w:r>
          </w:p>
        </w:tc>
      </w:tr>
      <w:tr w:rsidR="00E9176C">
        <w:trPr>
          <w:trHeight w:val="383"/>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风机功率</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55W</w:t>
            </w:r>
          </w:p>
        </w:tc>
        <w:tc>
          <w:tcPr>
            <w:tcW w:w="3014"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35W</w:t>
            </w:r>
          </w:p>
        </w:tc>
      </w:tr>
      <w:tr w:rsidR="00E9176C">
        <w:trPr>
          <w:trHeight w:val="393"/>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外形尺寸</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1360*1900*1600</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r w:rsidR="00E9176C">
        <w:trPr>
          <w:trHeight w:val="378"/>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内胆容积</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1000L(800x800x1600)</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r w:rsidR="00E9176C">
        <w:trPr>
          <w:trHeight w:val="378"/>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重量</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280kg</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r w:rsidR="00E9176C">
        <w:trPr>
          <w:trHeight w:val="408"/>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使用环境温度</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15℃-30℃</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r w:rsidR="00E9176C">
        <w:trPr>
          <w:trHeight w:val="393"/>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控温范围</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15℃-80℃</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r w:rsidR="00E9176C">
        <w:trPr>
          <w:trHeight w:val="393"/>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控</w:t>
            </w:r>
            <w:proofErr w:type="gramStart"/>
            <w:r>
              <w:rPr>
                <w:rFonts w:ascii="宋体" w:eastAsia="宋体" w:hAnsi="宋体" w:cs="宋体" w:hint="eastAsia"/>
                <w:bCs/>
                <w:sz w:val="22"/>
                <w:szCs w:val="22"/>
              </w:rPr>
              <w:t>湿范围</w:t>
            </w:r>
            <w:proofErr w:type="gramEnd"/>
          </w:p>
        </w:tc>
        <w:tc>
          <w:tcPr>
            <w:tcW w:w="3887" w:type="dxa"/>
            <w:vAlign w:val="center"/>
          </w:tcPr>
          <w:p w:rsidR="00E9176C" w:rsidRDefault="00E9176C">
            <w:pPr>
              <w:tabs>
                <w:tab w:val="left" w:pos="720"/>
              </w:tabs>
              <w:jc w:val="center"/>
              <w:rPr>
                <w:rFonts w:ascii="宋体" w:eastAsia="宋体" w:hAnsi="宋体" w:cs="宋体"/>
                <w:bCs/>
                <w:sz w:val="22"/>
                <w:szCs w:val="22"/>
              </w:rPr>
            </w:pPr>
          </w:p>
        </w:tc>
        <w:tc>
          <w:tcPr>
            <w:tcW w:w="3014"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3％～80％</w:t>
            </w:r>
          </w:p>
        </w:tc>
      </w:tr>
      <w:tr w:rsidR="00E9176C">
        <w:trPr>
          <w:trHeight w:val="398"/>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制冷剂/注入量</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R404a/320g</w:t>
            </w:r>
          </w:p>
        </w:tc>
        <w:tc>
          <w:tcPr>
            <w:tcW w:w="3014" w:type="dxa"/>
            <w:vAlign w:val="center"/>
          </w:tcPr>
          <w:p w:rsidR="00E9176C" w:rsidRDefault="00AB40ED">
            <w:pPr>
              <w:pStyle w:val="1"/>
              <w:spacing w:line="240" w:lineRule="auto"/>
              <w:rPr>
                <w:rFonts w:eastAsia="宋体" w:cs="宋体"/>
                <w:b w:val="0"/>
                <w:sz w:val="22"/>
                <w:szCs w:val="22"/>
              </w:rPr>
            </w:pPr>
            <w:r>
              <w:rPr>
                <w:rFonts w:eastAsia="宋体" w:cs="宋体" w:hint="eastAsia"/>
                <w:b w:val="0"/>
                <w:sz w:val="22"/>
                <w:szCs w:val="22"/>
              </w:rPr>
              <w:t>R404a/330g</w:t>
            </w:r>
          </w:p>
        </w:tc>
      </w:tr>
      <w:tr w:rsidR="00E9176C">
        <w:trPr>
          <w:trHeight w:val="413"/>
        </w:trPr>
        <w:tc>
          <w:tcPr>
            <w:tcW w:w="2653" w:type="dxa"/>
            <w:vAlign w:val="center"/>
          </w:tcPr>
          <w:p w:rsidR="00E9176C" w:rsidRDefault="00AB40ED">
            <w:pPr>
              <w:tabs>
                <w:tab w:val="left" w:pos="720"/>
              </w:tabs>
              <w:jc w:val="center"/>
              <w:rPr>
                <w:rFonts w:ascii="宋体" w:eastAsia="宋体" w:hAnsi="宋体" w:cs="宋体"/>
                <w:bCs/>
                <w:sz w:val="22"/>
                <w:szCs w:val="22"/>
              </w:rPr>
            </w:pPr>
            <w:proofErr w:type="gramStart"/>
            <w:r>
              <w:rPr>
                <w:rFonts w:ascii="宋体" w:eastAsia="宋体" w:hAnsi="宋体" w:cs="宋体" w:hint="eastAsia"/>
                <w:bCs/>
                <w:sz w:val="22"/>
                <w:szCs w:val="22"/>
              </w:rPr>
              <w:t>试材表面</w:t>
            </w:r>
            <w:proofErr w:type="gramEnd"/>
            <w:r>
              <w:rPr>
                <w:rFonts w:ascii="宋体" w:eastAsia="宋体" w:hAnsi="宋体" w:cs="宋体" w:hint="eastAsia"/>
                <w:bCs/>
                <w:sz w:val="22"/>
                <w:szCs w:val="22"/>
              </w:rPr>
              <w:t>风速</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0.1-0.3可调</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r w:rsidR="00E9176C">
        <w:trPr>
          <w:trHeight w:val="423"/>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sz w:val="22"/>
                <w:szCs w:val="22"/>
                <w:shd w:val="clear" w:color="auto" w:fill="FFFFFF"/>
              </w:rPr>
              <w:t>采样器抽气速度(L/min)</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sz w:val="22"/>
                <w:szCs w:val="22"/>
                <w:shd w:val="clear" w:color="auto" w:fill="FFFFFF"/>
              </w:rPr>
              <w:t>0.8~2.5 可调,(另配)</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r w:rsidR="00E9176C">
        <w:trPr>
          <w:trHeight w:val="393"/>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气密性</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sz w:val="22"/>
                <w:szCs w:val="22"/>
                <w:shd w:val="clear" w:color="auto" w:fill="FFFFFF"/>
              </w:rPr>
              <w:t>1kpa   泄漏率≤0.5%min</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r w:rsidR="00E9176C">
        <w:trPr>
          <w:trHeight w:val="393"/>
        </w:trPr>
        <w:tc>
          <w:tcPr>
            <w:tcW w:w="2653"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sz w:val="22"/>
                <w:szCs w:val="22"/>
                <w:shd w:val="clear" w:color="auto" w:fill="FFFFFF"/>
              </w:rPr>
              <w:t>空气交换率</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sz w:val="22"/>
                <w:szCs w:val="22"/>
                <w:shd w:val="clear" w:color="auto" w:fill="FFFFFF"/>
              </w:rPr>
              <w:t>0-1.5m</w:t>
            </w:r>
            <w:r>
              <w:rPr>
                <w:rFonts w:ascii="宋体" w:eastAsia="宋体" w:hAnsi="宋体" w:cs="宋体" w:hint="eastAsia"/>
                <w:sz w:val="28"/>
                <w:szCs w:val="28"/>
                <w:shd w:val="clear" w:color="auto" w:fill="FFFFFF"/>
                <w:vertAlign w:val="superscript"/>
              </w:rPr>
              <w:t>3</w:t>
            </w:r>
            <w:r>
              <w:rPr>
                <w:rFonts w:ascii="宋体" w:eastAsia="宋体" w:hAnsi="宋体" w:cs="宋体" w:hint="eastAsia"/>
                <w:sz w:val="22"/>
                <w:szCs w:val="22"/>
                <w:shd w:val="clear" w:color="auto" w:fill="FFFFFF"/>
              </w:rPr>
              <w:t>/h，±0.05%</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r w:rsidR="00E9176C">
        <w:trPr>
          <w:trHeight w:val="393"/>
        </w:trPr>
        <w:tc>
          <w:tcPr>
            <w:tcW w:w="2653" w:type="dxa"/>
            <w:vAlign w:val="center"/>
          </w:tcPr>
          <w:p w:rsidR="00E9176C" w:rsidRDefault="00AB40ED">
            <w:pPr>
              <w:tabs>
                <w:tab w:val="left" w:pos="720"/>
              </w:tabs>
              <w:jc w:val="center"/>
              <w:rPr>
                <w:rFonts w:ascii="宋体" w:eastAsia="宋体" w:hAnsi="宋体" w:cs="宋体"/>
                <w:sz w:val="22"/>
                <w:szCs w:val="22"/>
                <w:shd w:val="clear" w:color="auto" w:fill="FFFFFF"/>
              </w:rPr>
            </w:pPr>
            <w:r>
              <w:rPr>
                <w:rFonts w:ascii="宋体" w:eastAsia="宋体" w:hAnsi="宋体" w:cs="宋体" w:hint="eastAsia"/>
                <w:sz w:val="22"/>
                <w:szCs w:val="22"/>
                <w:shd w:val="clear" w:color="auto" w:fill="FFFFFF"/>
              </w:rPr>
              <w:t>清洁空气</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甲醛浓度≤0.006mg/m3</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r w:rsidR="00E9176C">
        <w:trPr>
          <w:trHeight w:val="423"/>
        </w:trPr>
        <w:tc>
          <w:tcPr>
            <w:tcW w:w="2653" w:type="dxa"/>
            <w:vAlign w:val="center"/>
          </w:tcPr>
          <w:p w:rsidR="00E9176C" w:rsidRDefault="00AB40ED">
            <w:pPr>
              <w:tabs>
                <w:tab w:val="left" w:pos="720"/>
              </w:tabs>
              <w:jc w:val="center"/>
              <w:rPr>
                <w:rFonts w:ascii="宋体" w:eastAsia="宋体" w:hAnsi="宋体" w:cs="宋体"/>
                <w:sz w:val="22"/>
                <w:szCs w:val="22"/>
                <w:shd w:val="clear" w:color="auto" w:fill="FFFFFF"/>
              </w:rPr>
            </w:pPr>
            <w:r>
              <w:rPr>
                <w:rFonts w:ascii="宋体" w:eastAsia="宋体" w:hAnsi="宋体" w:cs="宋体" w:hint="eastAsia"/>
                <w:sz w:val="22"/>
                <w:szCs w:val="22"/>
                <w:shd w:val="clear" w:color="auto" w:fill="FFFFFF"/>
              </w:rPr>
              <w:t>空载箱内本底</w:t>
            </w:r>
          </w:p>
        </w:tc>
        <w:tc>
          <w:tcPr>
            <w:tcW w:w="3887" w:type="dxa"/>
            <w:vAlign w:val="center"/>
          </w:tcPr>
          <w:p w:rsidR="00E9176C" w:rsidRDefault="00AB40ED">
            <w:pPr>
              <w:tabs>
                <w:tab w:val="left" w:pos="720"/>
              </w:tabs>
              <w:jc w:val="center"/>
              <w:rPr>
                <w:rFonts w:ascii="宋体" w:eastAsia="宋体" w:hAnsi="宋体" w:cs="宋体"/>
                <w:bCs/>
                <w:sz w:val="22"/>
                <w:szCs w:val="22"/>
              </w:rPr>
            </w:pPr>
            <w:r>
              <w:rPr>
                <w:rFonts w:ascii="宋体" w:eastAsia="宋体" w:hAnsi="宋体" w:cs="宋体" w:hint="eastAsia"/>
                <w:bCs/>
                <w:sz w:val="22"/>
                <w:szCs w:val="22"/>
              </w:rPr>
              <w:t>甲醛本底浓度≤0.010mg/m3</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r w:rsidR="00E9176C">
        <w:trPr>
          <w:trHeight w:val="936"/>
        </w:trPr>
        <w:tc>
          <w:tcPr>
            <w:tcW w:w="2653" w:type="dxa"/>
            <w:vAlign w:val="center"/>
          </w:tcPr>
          <w:p w:rsidR="00E9176C" w:rsidRDefault="00AB40ED">
            <w:pPr>
              <w:tabs>
                <w:tab w:val="left" w:pos="720"/>
              </w:tabs>
              <w:jc w:val="center"/>
              <w:rPr>
                <w:rFonts w:ascii="宋体" w:eastAsia="宋体" w:hAnsi="宋体" w:cs="宋体"/>
                <w:sz w:val="22"/>
                <w:szCs w:val="22"/>
                <w:shd w:val="clear" w:color="auto" w:fill="FFFFFF"/>
              </w:rPr>
            </w:pPr>
            <w:r>
              <w:rPr>
                <w:rFonts w:ascii="宋体" w:eastAsia="宋体" w:hAnsi="宋体" w:cs="宋体" w:hint="eastAsia"/>
                <w:sz w:val="22"/>
                <w:szCs w:val="22"/>
                <w:shd w:val="clear" w:color="auto" w:fill="FFFFFF"/>
              </w:rPr>
              <w:t>清洁空气</w:t>
            </w:r>
          </w:p>
        </w:tc>
        <w:tc>
          <w:tcPr>
            <w:tcW w:w="3887" w:type="dxa"/>
            <w:vAlign w:val="center"/>
          </w:tcPr>
          <w:p w:rsidR="00E9176C" w:rsidRDefault="00AB40ED">
            <w:pPr>
              <w:numPr>
                <w:ilvl w:val="0"/>
                <w:numId w:val="4"/>
              </w:numPr>
              <w:tabs>
                <w:tab w:val="left" w:pos="720"/>
              </w:tabs>
              <w:rPr>
                <w:rFonts w:ascii="宋体" w:eastAsia="宋体" w:hAnsi="宋体" w:cs="宋体"/>
                <w:bCs/>
                <w:sz w:val="22"/>
                <w:szCs w:val="22"/>
              </w:rPr>
            </w:pPr>
            <w:r>
              <w:rPr>
                <w:rFonts w:ascii="宋体" w:eastAsia="宋体" w:hAnsi="宋体" w:cs="宋体" w:hint="eastAsia"/>
                <w:bCs/>
                <w:sz w:val="22"/>
                <w:szCs w:val="22"/>
              </w:rPr>
              <w:t>甲醛浓度≤0.006mg/m3</w:t>
            </w:r>
          </w:p>
          <w:p w:rsidR="00E9176C" w:rsidRDefault="00AB40ED">
            <w:pPr>
              <w:numPr>
                <w:ilvl w:val="0"/>
                <w:numId w:val="4"/>
              </w:numPr>
              <w:tabs>
                <w:tab w:val="left" w:pos="720"/>
              </w:tabs>
              <w:rPr>
                <w:rFonts w:ascii="宋体" w:eastAsia="宋体" w:hAnsi="宋体" w:cs="宋体"/>
                <w:bCs/>
                <w:sz w:val="22"/>
                <w:szCs w:val="22"/>
              </w:rPr>
            </w:pPr>
            <w:r>
              <w:rPr>
                <w:rFonts w:ascii="宋体" w:eastAsia="宋体" w:hAnsi="宋体" w:cs="宋体" w:hint="eastAsia"/>
                <w:bCs/>
                <w:sz w:val="22"/>
                <w:szCs w:val="22"/>
              </w:rPr>
              <w:t>单项VOC浓度≤0.002mg/m3</w:t>
            </w:r>
          </w:p>
          <w:p w:rsidR="00E9176C" w:rsidRDefault="00AB40ED">
            <w:pPr>
              <w:numPr>
                <w:ilvl w:val="0"/>
                <w:numId w:val="4"/>
              </w:numPr>
              <w:tabs>
                <w:tab w:val="left" w:pos="720"/>
              </w:tabs>
              <w:rPr>
                <w:rFonts w:ascii="宋体" w:eastAsia="宋体" w:hAnsi="宋体" w:cs="宋体"/>
                <w:bCs/>
                <w:sz w:val="22"/>
                <w:szCs w:val="22"/>
              </w:rPr>
            </w:pPr>
            <w:proofErr w:type="spellStart"/>
            <w:r>
              <w:rPr>
                <w:rFonts w:ascii="宋体" w:eastAsia="宋体" w:hAnsi="宋体" w:cs="宋体" w:hint="eastAsia"/>
                <w:bCs/>
                <w:sz w:val="22"/>
                <w:szCs w:val="22"/>
              </w:rPr>
              <w:t>Tvoc</w:t>
            </w:r>
            <w:proofErr w:type="spellEnd"/>
            <w:r>
              <w:rPr>
                <w:rFonts w:ascii="宋体" w:eastAsia="宋体" w:hAnsi="宋体" w:cs="宋体" w:hint="eastAsia"/>
                <w:bCs/>
                <w:sz w:val="22"/>
                <w:szCs w:val="22"/>
              </w:rPr>
              <w:t>浓度≤0.02mg/m3</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r w:rsidR="00E9176C">
        <w:trPr>
          <w:trHeight w:val="936"/>
        </w:trPr>
        <w:tc>
          <w:tcPr>
            <w:tcW w:w="2653" w:type="dxa"/>
            <w:vAlign w:val="center"/>
          </w:tcPr>
          <w:p w:rsidR="00E9176C" w:rsidRDefault="00AB40ED">
            <w:pPr>
              <w:tabs>
                <w:tab w:val="left" w:pos="720"/>
              </w:tabs>
              <w:jc w:val="center"/>
              <w:rPr>
                <w:rFonts w:ascii="宋体" w:eastAsia="宋体" w:hAnsi="宋体" w:cs="宋体"/>
                <w:sz w:val="22"/>
                <w:szCs w:val="22"/>
                <w:shd w:val="clear" w:color="auto" w:fill="FFFFFF"/>
              </w:rPr>
            </w:pPr>
            <w:r>
              <w:rPr>
                <w:rFonts w:ascii="宋体" w:eastAsia="宋体" w:hAnsi="宋体" w:cs="宋体" w:hint="eastAsia"/>
                <w:sz w:val="22"/>
                <w:szCs w:val="22"/>
                <w:shd w:val="clear" w:color="auto" w:fill="FFFFFF"/>
              </w:rPr>
              <w:t>空载箱内本底</w:t>
            </w:r>
          </w:p>
        </w:tc>
        <w:tc>
          <w:tcPr>
            <w:tcW w:w="3887" w:type="dxa"/>
            <w:vAlign w:val="center"/>
          </w:tcPr>
          <w:p w:rsidR="00E9176C" w:rsidRDefault="00AB40ED">
            <w:pPr>
              <w:tabs>
                <w:tab w:val="left" w:pos="720"/>
              </w:tabs>
              <w:rPr>
                <w:rFonts w:ascii="宋体" w:eastAsia="宋体" w:hAnsi="宋体" w:cs="宋体"/>
                <w:bCs/>
                <w:sz w:val="22"/>
                <w:szCs w:val="22"/>
              </w:rPr>
            </w:pPr>
            <w:r>
              <w:rPr>
                <w:rFonts w:ascii="宋体" w:eastAsia="宋体" w:hAnsi="宋体" w:cs="宋体" w:hint="eastAsia"/>
                <w:bCs/>
                <w:sz w:val="22"/>
                <w:szCs w:val="22"/>
              </w:rPr>
              <w:t>（1）甲醛本底浓度≤0.010mg/m3</w:t>
            </w:r>
          </w:p>
          <w:p w:rsidR="00E9176C" w:rsidRDefault="00AB40ED">
            <w:pPr>
              <w:tabs>
                <w:tab w:val="left" w:pos="720"/>
              </w:tabs>
              <w:rPr>
                <w:rFonts w:ascii="宋体" w:eastAsia="宋体" w:hAnsi="宋体" w:cs="宋体"/>
                <w:bCs/>
                <w:sz w:val="22"/>
                <w:szCs w:val="22"/>
              </w:rPr>
            </w:pPr>
            <w:r>
              <w:rPr>
                <w:rFonts w:ascii="宋体" w:eastAsia="宋体" w:hAnsi="宋体" w:cs="宋体" w:hint="eastAsia"/>
                <w:bCs/>
                <w:sz w:val="22"/>
                <w:szCs w:val="22"/>
              </w:rPr>
              <w:t>（2）单项VOC本底浓度≤0.005mg/m3</w:t>
            </w:r>
          </w:p>
          <w:p w:rsidR="00E9176C" w:rsidRDefault="00AB40ED">
            <w:pPr>
              <w:tabs>
                <w:tab w:val="left" w:pos="720"/>
              </w:tabs>
              <w:rPr>
                <w:rFonts w:ascii="宋体" w:eastAsia="宋体" w:hAnsi="宋体" w:cs="宋体"/>
                <w:bCs/>
                <w:sz w:val="22"/>
                <w:szCs w:val="22"/>
              </w:rPr>
            </w:pPr>
            <w:r>
              <w:rPr>
                <w:rFonts w:ascii="宋体" w:eastAsia="宋体" w:hAnsi="宋体" w:cs="宋体" w:hint="eastAsia"/>
                <w:bCs/>
                <w:sz w:val="22"/>
                <w:szCs w:val="22"/>
              </w:rPr>
              <w:t>（3）</w:t>
            </w:r>
            <w:proofErr w:type="spellStart"/>
            <w:r>
              <w:rPr>
                <w:rFonts w:ascii="宋体" w:eastAsia="宋体" w:hAnsi="宋体" w:cs="宋体" w:hint="eastAsia"/>
                <w:bCs/>
                <w:sz w:val="22"/>
                <w:szCs w:val="22"/>
              </w:rPr>
              <w:t>Tvoc</w:t>
            </w:r>
            <w:proofErr w:type="spellEnd"/>
            <w:r>
              <w:rPr>
                <w:rFonts w:ascii="宋体" w:eastAsia="宋体" w:hAnsi="宋体" w:cs="宋体" w:hint="eastAsia"/>
                <w:bCs/>
                <w:sz w:val="22"/>
                <w:szCs w:val="22"/>
              </w:rPr>
              <w:t>本底浓度≤0.04mg/m3</w:t>
            </w:r>
          </w:p>
        </w:tc>
        <w:tc>
          <w:tcPr>
            <w:tcW w:w="3014" w:type="dxa"/>
            <w:vAlign w:val="center"/>
          </w:tcPr>
          <w:p w:rsidR="00E9176C" w:rsidRDefault="00E9176C">
            <w:pPr>
              <w:tabs>
                <w:tab w:val="left" w:pos="720"/>
              </w:tabs>
              <w:jc w:val="center"/>
              <w:rPr>
                <w:rFonts w:ascii="宋体" w:eastAsia="宋体" w:hAnsi="宋体" w:cs="宋体"/>
                <w:bCs/>
                <w:sz w:val="22"/>
                <w:szCs w:val="22"/>
              </w:rPr>
            </w:pPr>
          </w:p>
        </w:tc>
      </w:tr>
    </w:tbl>
    <w:p w:rsidR="00E9176C" w:rsidRDefault="00E9176C">
      <w:pPr>
        <w:spacing w:line="360" w:lineRule="auto"/>
        <w:rPr>
          <w:rFonts w:ascii="宋体" w:hAnsi="宋体"/>
          <w:b/>
          <w:bCs/>
          <w:sz w:val="22"/>
          <w:szCs w:val="22"/>
        </w:rPr>
      </w:pPr>
    </w:p>
    <w:p w:rsidR="00E9176C" w:rsidRDefault="00AB40ED">
      <w:pPr>
        <w:rPr>
          <w:rFonts w:ascii="宋体" w:eastAsia="宋体" w:hAnsi="宋体" w:cs="宋体"/>
          <w:bCs/>
          <w:kern w:val="0"/>
          <w:sz w:val="28"/>
          <w:szCs w:val="28"/>
        </w:rPr>
      </w:pPr>
      <w:r>
        <w:rPr>
          <w:rFonts w:ascii="宋体" w:eastAsia="宋体" w:hAnsi="宋体" w:cs="宋体" w:hint="eastAsia"/>
          <w:bCs/>
          <w:kern w:val="0"/>
          <w:sz w:val="28"/>
          <w:szCs w:val="28"/>
        </w:rPr>
        <w:t>应用领域</w:t>
      </w:r>
    </w:p>
    <w:p w:rsidR="00E9176C" w:rsidRDefault="00AB40ED">
      <w:pPr>
        <w:spacing w:line="340" w:lineRule="exact"/>
        <w:ind w:firstLineChars="200" w:firstLine="480"/>
        <w:rPr>
          <w:rFonts w:ascii="宋体" w:eastAsia="宋体" w:hAnsi="宋体" w:cs="宋体"/>
          <w:bCs/>
          <w:sz w:val="24"/>
        </w:rPr>
      </w:pPr>
      <w:r>
        <w:rPr>
          <w:rFonts w:ascii="宋体" w:eastAsia="宋体" w:hAnsi="宋体" w:cs="宋体" w:hint="eastAsia"/>
          <w:bCs/>
          <w:sz w:val="24"/>
        </w:rPr>
        <w:t>1立方米环境气候箱是按照GB18580-2017《室内装饰装修材料--人造板及其制品中甲醛释放限量》、ASTM D6007-02《小尺度环境箱测定木制品释放气体中甲醛浓度的标准测试方法》、EN 717-1《人造板甲醛释放量测量环境箱法》、上海市团体标准T/310101002-C003-2016 《学校运动场地塑胶面层有害物质限量》之要求研制的检测建筑材料VOC释放量的配套设备，主要应用于提供稳定的释放环境来容纳空气中有害物质。</w:t>
      </w:r>
    </w:p>
    <w:p w:rsidR="00E9176C" w:rsidRDefault="00E9176C">
      <w:pPr>
        <w:rPr>
          <w:rFonts w:ascii="宋体" w:eastAsia="宋体" w:hAnsi="宋体" w:cs="宋体"/>
          <w:bCs/>
          <w:kern w:val="0"/>
          <w:sz w:val="24"/>
        </w:rPr>
      </w:pPr>
    </w:p>
    <w:p w:rsidR="00E9176C" w:rsidRDefault="00AB40ED">
      <w:pPr>
        <w:rPr>
          <w:rFonts w:ascii="宋体" w:eastAsia="宋体" w:hAnsi="宋体" w:cs="宋体"/>
          <w:bCs/>
          <w:kern w:val="0"/>
          <w:sz w:val="24"/>
        </w:rPr>
      </w:pPr>
      <w:r>
        <w:rPr>
          <w:rFonts w:ascii="宋体" w:eastAsia="宋体" w:hAnsi="宋体" w:cs="宋体" w:hint="eastAsia"/>
          <w:bCs/>
          <w:kern w:val="0"/>
          <w:sz w:val="24"/>
        </w:rPr>
        <w:t>注：该设备取得ISO9001：2008《质量管理体系认证证书》, ISO14001：2004《环境管理体系认证证书》， OHSAS18001:2007《职业健康安全管理体系认证证书》。</w:t>
      </w:r>
    </w:p>
    <w:p w:rsidR="00E9176C" w:rsidRDefault="00E9176C">
      <w:pPr>
        <w:rPr>
          <w:rFonts w:ascii="楷体" w:eastAsia="楷体" w:hAnsi="楷体"/>
          <w:bCs/>
          <w:kern w:val="0"/>
          <w:sz w:val="24"/>
          <w:szCs w:val="22"/>
        </w:rPr>
      </w:pPr>
    </w:p>
    <w:sectPr w:rsidR="00E9176C" w:rsidSect="00E917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4B6" w:rsidRDefault="005754B6" w:rsidP="00D201D1">
      <w:r>
        <w:separator/>
      </w:r>
    </w:p>
  </w:endnote>
  <w:endnote w:type="continuationSeparator" w:id="0">
    <w:p w:rsidR="005754B6" w:rsidRDefault="005754B6" w:rsidP="00D201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4B6" w:rsidRDefault="005754B6" w:rsidP="00D201D1">
      <w:r>
        <w:separator/>
      </w:r>
    </w:p>
  </w:footnote>
  <w:footnote w:type="continuationSeparator" w:id="0">
    <w:p w:rsidR="005754B6" w:rsidRDefault="005754B6" w:rsidP="00D20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3B779"/>
    <w:multiLevelType w:val="singleLevel"/>
    <w:tmpl w:val="5443B779"/>
    <w:lvl w:ilvl="0">
      <w:start w:val="1"/>
      <w:numFmt w:val="decimal"/>
      <w:suff w:val="nothing"/>
      <w:lvlText w:val="（%1）"/>
      <w:lvlJc w:val="left"/>
    </w:lvl>
  </w:abstractNum>
  <w:abstractNum w:abstractNumId="1">
    <w:nsid w:val="59DB4352"/>
    <w:multiLevelType w:val="singleLevel"/>
    <w:tmpl w:val="59DB4352"/>
    <w:lvl w:ilvl="0">
      <w:start w:val="2"/>
      <w:numFmt w:val="decimal"/>
      <w:suff w:val="space"/>
      <w:lvlText w:val="%1."/>
      <w:lvlJc w:val="left"/>
    </w:lvl>
  </w:abstractNum>
  <w:abstractNum w:abstractNumId="2">
    <w:nsid w:val="59DB4947"/>
    <w:multiLevelType w:val="singleLevel"/>
    <w:tmpl w:val="59DB4947"/>
    <w:lvl w:ilvl="0">
      <w:start w:val="7"/>
      <w:numFmt w:val="decimal"/>
      <w:suff w:val="space"/>
      <w:lvlText w:val="%1."/>
      <w:lvlJc w:val="left"/>
    </w:lvl>
  </w:abstractNum>
  <w:abstractNum w:abstractNumId="3">
    <w:nsid w:val="59DB49B1"/>
    <w:multiLevelType w:val="singleLevel"/>
    <w:tmpl w:val="59DB49B1"/>
    <w:lvl w:ilvl="0">
      <w:start w:val="10"/>
      <w:numFmt w:val="decimal"/>
      <w:suff w:val="space"/>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54642F3"/>
    <w:rsid w:val="00431588"/>
    <w:rsid w:val="00445407"/>
    <w:rsid w:val="005754B6"/>
    <w:rsid w:val="00AB40ED"/>
    <w:rsid w:val="00D201D1"/>
    <w:rsid w:val="00E9176C"/>
    <w:rsid w:val="00F031AE"/>
    <w:rsid w:val="00F46F55"/>
    <w:rsid w:val="0E064C39"/>
    <w:rsid w:val="104825F6"/>
    <w:rsid w:val="114F5CD9"/>
    <w:rsid w:val="154642F3"/>
    <w:rsid w:val="1E5A3520"/>
    <w:rsid w:val="6E0D37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76C"/>
    <w:pPr>
      <w:widowControl w:val="0"/>
      <w:jc w:val="both"/>
    </w:pPr>
    <w:rPr>
      <w:kern w:val="2"/>
      <w:sz w:val="21"/>
      <w:szCs w:val="24"/>
    </w:rPr>
  </w:style>
  <w:style w:type="paragraph" w:styleId="1">
    <w:name w:val="heading 1"/>
    <w:basedOn w:val="a"/>
    <w:next w:val="a"/>
    <w:qFormat/>
    <w:rsid w:val="00E9176C"/>
    <w:pPr>
      <w:keepNext/>
      <w:tabs>
        <w:tab w:val="left" w:pos="720"/>
      </w:tabs>
      <w:spacing w:line="360" w:lineRule="auto"/>
      <w:jc w:val="center"/>
      <w:outlineLvl w:val="0"/>
    </w:pPr>
    <w:rPr>
      <w:rFonts w:ascii="宋体" w:hAnsi="宋体"/>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9176C"/>
    <w:rPr>
      <w:sz w:val="18"/>
      <w:szCs w:val="18"/>
    </w:rPr>
  </w:style>
  <w:style w:type="paragraph" w:styleId="a4">
    <w:name w:val="footer"/>
    <w:basedOn w:val="a"/>
    <w:qFormat/>
    <w:rsid w:val="00E9176C"/>
    <w:pPr>
      <w:tabs>
        <w:tab w:val="center" w:pos="4153"/>
        <w:tab w:val="right" w:pos="8306"/>
      </w:tabs>
      <w:snapToGrid w:val="0"/>
      <w:jc w:val="left"/>
    </w:pPr>
    <w:rPr>
      <w:sz w:val="18"/>
      <w:szCs w:val="18"/>
    </w:rPr>
  </w:style>
  <w:style w:type="paragraph" w:styleId="a5">
    <w:name w:val="header"/>
    <w:basedOn w:val="a"/>
    <w:rsid w:val="00E9176C"/>
    <w:pPr>
      <w:pBdr>
        <w:bottom w:val="single" w:sz="6" w:space="1" w:color="auto"/>
      </w:pBdr>
      <w:tabs>
        <w:tab w:val="center" w:pos="4153"/>
        <w:tab w:val="right" w:pos="8306"/>
      </w:tabs>
      <w:snapToGrid w:val="0"/>
      <w:jc w:val="center"/>
    </w:pPr>
    <w:rPr>
      <w:sz w:val="18"/>
      <w:szCs w:val="18"/>
    </w:rPr>
  </w:style>
  <w:style w:type="paragraph" w:customStyle="1" w:styleId="10">
    <w:name w:val="无间隔1"/>
    <w:uiPriority w:val="1"/>
    <w:qFormat/>
    <w:rsid w:val="00E9176C"/>
    <w:pPr>
      <w:widowControl w:val="0"/>
      <w:jc w:val="both"/>
    </w:pPr>
    <w:rPr>
      <w:rFonts w:ascii="Times New Roman" w:eastAsia="宋体" w:hAnsi="Times New Roman"/>
      <w:kern w:val="2"/>
      <w:sz w:val="21"/>
      <w:szCs w:val="24"/>
    </w:rPr>
  </w:style>
  <w:style w:type="character" w:customStyle="1" w:styleId="Char">
    <w:name w:val="批注框文本 Char"/>
    <w:basedOn w:val="a0"/>
    <w:link w:val="a3"/>
    <w:rsid w:val="00E9176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Asus-Pc</cp:lastModifiedBy>
  <cp:revision>3</cp:revision>
  <dcterms:created xsi:type="dcterms:W3CDTF">2017-11-23T03:14:00Z</dcterms:created>
  <dcterms:modified xsi:type="dcterms:W3CDTF">2017-11-28T03:06:00Z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