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F9" w:rsidRPr="003D71F9" w:rsidRDefault="003D71F9" w:rsidP="003D71F9">
      <w:pPr>
        <w:widowControl/>
        <w:ind w:left="72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</w:pPr>
      <w:bookmarkStart w:id="0" w:name="one"/>
      <w:bookmarkEnd w:id="0"/>
      <w:r w:rsidRPr="003D71F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CEL-HXF300光催化氙灯光源</w:t>
      </w:r>
    </w:p>
    <w:p w:rsidR="003D71F9" w:rsidRPr="003D71F9" w:rsidRDefault="003D71F9" w:rsidP="003D71F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r w:rsidRPr="003D71F9">
        <w:rPr>
          <w:rFonts w:ascii="微软雅黑" w:eastAsia="微软雅黑" w:hAnsi="微软雅黑" w:cs="宋体" w:hint="eastAsia"/>
          <w:b/>
          <w:bCs/>
          <w:color w:val="000000"/>
          <w:kern w:val="0"/>
        </w:rPr>
        <w:t>优势特点</w:t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光化学实验大部分需要模拟太阳光，氙灯光源有着与太阳光相似的光谱。CEL-HX系列氙灯系统，属高光功率全波段光源，波长连续分布。采用进口氙灯灯泡，领先的专利散热模式（ZL .201020250564.8），保障光能量集中稳定输出，便于试验中光的有效利用；多种可选配件，提高了实验的便捷性。可360度旋转镜头，可以选择不同照射方式，多次反射冷光源镜头，兼容多规格滤光片，标准光纤接口等。</w:t>
      </w:r>
    </w:p>
    <w:p w:rsidR="003D71F9" w:rsidRPr="003D71F9" w:rsidRDefault="003D71F9" w:rsidP="003D71F9">
      <w:pPr>
        <w:widowControl/>
        <w:spacing w:after="240"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1" w:name="two"/>
      <w:bookmarkEnd w:id="1"/>
      <w:r w:rsidRPr="003D71F9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产品应用</w:t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此系列氙灯光源广泛应用于光催化、工业催化、光解水产氢、光化学催化、光化学合成、光降解污染物、水污染处理、生物光照，光学检测、各类模拟日光可见光加速实验、紫外波段加速实验等研究领域。</w:t>
      </w:r>
      <w:r w:rsidRPr="003D71F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t>CEL-HXF系列主要侧重可见区的模拟太阳光，而CEL-HXUV300在200~400nm有连续光谱输出，则面向偏重高能量紫外连续分布的研究应用，比如模拟阳光中的紫外部分的紫外加速实验等。</w:t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CEL-HXUV系列的出现，改变了以往紫外研究中过于依赖汞灯光源的状况，并实现了一台光源同时具备研究紫外和可见的能力。相比汞灯的优势：CEL-HXUV300在紫外区的能量是连续分布的，而汞灯只有某几个特征峰的线光谱。</w:t>
      </w:r>
      <w:r w:rsidRPr="003D71F9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658414" cy="4219575"/>
            <wp:effectExtent l="19050" t="0" r="0" b="0"/>
            <wp:docPr id="1" name="图片 1" descr="http://test92.cindanet.com/uploadfile/2017/0606/2017060609450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92.cindanet.com/uploadfile/2017/0606/201706060945004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14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1F9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552950" cy="3324225"/>
            <wp:effectExtent l="19050" t="0" r="0" b="0"/>
            <wp:docPr id="2" name="图片 2" descr="http://test92.cindanet.com/uploadfile/2017/0606/2017060609450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92.cindanet.com/uploadfile/2017/0606/201706060945013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1F9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314950" cy="4124325"/>
            <wp:effectExtent l="19050" t="0" r="0" b="0"/>
            <wp:docPr id="3" name="图片 3" descr="http://test92.cindanet.com/uploadfile/2017/0606/2017060609450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92.cindanet.com/uploadfile/2017/0606/201706060945012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1F9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2914650" cy="1457325"/>
            <wp:effectExtent l="19050" t="0" r="0" b="0"/>
            <wp:docPr id="4" name="图片 4" descr="http://test92.cindanet.com/uploadfile/2017/0606/2017060609450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92.cindanet.com/uploadfile/2017/0606/2017060609450165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1F9" w:rsidRPr="003D71F9" w:rsidRDefault="003D71F9" w:rsidP="003D71F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2" w:name="three"/>
      <w:bookmarkEnd w:id="2"/>
      <w:r w:rsidRPr="003D71F9">
        <w:rPr>
          <w:rFonts w:ascii="微软雅黑" w:eastAsia="微软雅黑" w:hAnsi="微软雅黑" w:cs="宋体" w:hint="eastAsia"/>
          <w:b/>
          <w:bCs/>
          <w:color w:val="000000"/>
          <w:kern w:val="0"/>
        </w:rPr>
        <w:t>详细介绍</w:t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1）采用专利（ZL .201020250564.8）的散热模式，延长灯泡使用寿命，极限可达6000H。</w:t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2）高效的电光转换效率，可以输出高能量的平行光，光功率最高可达249W。</w:t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3）简易的光学结构，可以选择不同的波长、波段，满足多样化使用需求。</w:t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4）模块化的设计极大提高了产品的安全性和稳定性。</w:t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5）可实现高能量密度、长时间连续照射。</w:t>
      </w:r>
      <w:r w:rsidRPr="003D71F9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>6）丰富的可选配件，及多用途扩展。</w:t>
      </w:r>
    </w:p>
    <w:p w:rsidR="003D71F9" w:rsidRPr="003D71F9" w:rsidRDefault="003D71F9" w:rsidP="003D71F9">
      <w:pPr>
        <w:widowControl/>
        <w:ind w:left="720"/>
        <w:jc w:val="left"/>
        <w:rPr>
          <w:rFonts w:ascii="Microsoft Yahei" w:eastAsia="宋体" w:hAnsi="Microsoft Yahei" w:cs="宋体"/>
          <w:color w:val="000000"/>
          <w:kern w:val="0"/>
          <w:sz w:val="18"/>
          <w:szCs w:val="18"/>
        </w:rPr>
      </w:pPr>
      <w:bookmarkStart w:id="3" w:name="four"/>
      <w:bookmarkEnd w:id="3"/>
      <w:r w:rsidRPr="003D71F9">
        <w:rPr>
          <w:rFonts w:ascii="微软雅黑" w:eastAsia="微软雅黑" w:hAnsi="微软雅黑" w:cs="宋体" w:hint="eastAsia"/>
          <w:b/>
          <w:bCs/>
          <w:color w:val="000000"/>
          <w:kern w:val="0"/>
        </w:rPr>
        <w:t>规格参数</w:t>
      </w:r>
      <w:r w:rsidRPr="003D71F9">
        <w:rPr>
          <w:rFonts w:ascii="Microsoft Yahei" w:eastAsia="宋体" w:hAnsi="Microsoft Yahei" w:cs="宋体"/>
          <w:color w:val="000000"/>
          <w:kern w:val="0"/>
          <w:sz w:val="18"/>
          <w:szCs w:val="18"/>
        </w:rPr>
        <w:br/>
      </w:r>
      <w:r>
        <w:rPr>
          <w:rFonts w:ascii="Microsoft Yahei" w:eastAsia="宋体" w:hAnsi="Microsoft Yahei" w:cs="宋体" w:hint="eastAsia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529638" cy="5619750"/>
            <wp:effectExtent l="19050" t="0" r="0" b="0"/>
            <wp:docPr id="5" name="图片 5" descr="http://test92.cindanet.com/uploadfile/2017/0606/20170606094502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92.cindanet.com/uploadfile/2017/0606/2017060609450245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38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108" w:rsidRDefault="00057108"/>
    <w:sectPr w:rsidR="0005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08" w:rsidRDefault="00057108" w:rsidP="003D71F9">
      <w:r>
        <w:separator/>
      </w:r>
    </w:p>
  </w:endnote>
  <w:endnote w:type="continuationSeparator" w:id="1">
    <w:p w:rsidR="00057108" w:rsidRDefault="00057108" w:rsidP="003D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08" w:rsidRDefault="00057108" w:rsidP="003D71F9">
      <w:r>
        <w:separator/>
      </w:r>
    </w:p>
  </w:footnote>
  <w:footnote w:type="continuationSeparator" w:id="1">
    <w:p w:rsidR="00057108" w:rsidRDefault="00057108" w:rsidP="003D7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1F9"/>
    <w:rsid w:val="00057108"/>
    <w:rsid w:val="003D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1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1F9"/>
    <w:rPr>
      <w:sz w:val="18"/>
      <w:szCs w:val="18"/>
    </w:rPr>
  </w:style>
  <w:style w:type="character" w:styleId="a5">
    <w:name w:val="Strong"/>
    <w:basedOn w:val="a0"/>
    <w:uiPriority w:val="22"/>
    <w:qFormat/>
    <w:rsid w:val="003D71F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D71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71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aulight</dc:creator>
  <cp:lastModifiedBy>aulight</cp:lastModifiedBy>
  <cp:revision>2</cp:revision>
  <dcterms:created xsi:type="dcterms:W3CDTF">2017-07-12T02:10:00Z</dcterms:created>
  <dcterms:modified xsi:type="dcterms:W3CDTF">2017-07-12T02:10:00Z</dcterms:modified>
</cp:coreProperties>
</file>