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BF" w:rsidRPr="004B7ABF" w:rsidRDefault="004B7ABF" w:rsidP="004B7ABF">
      <w:pPr>
        <w:widowControl/>
        <w:ind w:left="720"/>
        <w:jc w:val="left"/>
        <w:rPr>
          <w:rFonts w:ascii="微软雅黑" w:eastAsia="微软雅黑" w:hAnsi="微软雅黑" w:cs="宋体" w:hint="eastAsia"/>
          <w:b/>
          <w:bCs/>
          <w:color w:val="000000"/>
          <w:kern w:val="0"/>
          <w:sz w:val="28"/>
          <w:szCs w:val="28"/>
        </w:rPr>
      </w:pPr>
      <w:bookmarkStart w:id="0" w:name="one"/>
      <w:bookmarkEnd w:id="0"/>
      <w:r w:rsidRPr="004B7ABF">
        <w:rPr>
          <w:rFonts w:ascii="微软雅黑" w:eastAsia="微软雅黑" w:hAnsi="微软雅黑" w:cs="宋体" w:hint="eastAsia"/>
          <w:b/>
          <w:bCs/>
          <w:color w:val="000000"/>
          <w:kern w:val="0"/>
          <w:sz w:val="28"/>
          <w:szCs w:val="28"/>
        </w:rPr>
        <w:t>CEL-GPPC气相催化系统</w:t>
      </w:r>
    </w:p>
    <w:p w:rsidR="004B7ABF" w:rsidRPr="004B7ABF" w:rsidRDefault="004B7ABF" w:rsidP="004B7ABF">
      <w:pPr>
        <w:widowControl/>
        <w:ind w:left="720"/>
        <w:jc w:val="left"/>
        <w:rPr>
          <w:rFonts w:ascii="Microsoft Yahei" w:eastAsia="宋体" w:hAnsi="Microsoft Yahei" w:cs="宋体"/>
          <w:color w:val="000000"/>
          <w:kern w:val="0"/>
          <w:sz w:val="18"/>
          <w:szCs w:val="18"/>
        </w:rPr>
      </w:pPr>
      <w:r w:rsidRPr="004B7ABF">
        <w:rPr>
          <w:rFonts w:ascii="微软雅黑" w:eastAsia="微软雅黑" w:hAnsi="微软雅黑" w:cs="宋体" w:hint="eastAsia"/>
          <w:b/>
          <w:bCs/>
          <w:color w:val="000000"/>
          <w:kern w:val="0"/>
        </w:rPr>
        <w:t>优势特点</w:t>
      </w:r>
      <w:r w:rsidRPr="004B7ABF">
        <w:rPr>
          <w:rFonts w:ascii="微软雅黑" w:eastAsia="微软雅黑" w:hAnsi="微软雅黑" w:cs="宋体" w:hint="eastAsia"/>
          <w:color w:val="000000"/>
          <w:kern w:val="0"/>
          <w:szCs w:val="21"/>
        </w:rPr>
        <w:t>：</w:t>
      </w:r>
      <w:r w:rsidRPr="004B7ABF">
        <w:rPr>
          <w:rFonts w:ascii="微软雅黑" w:eastAsia="微软雅黑" w:hAnsi="微软雅黑" w:cs="宋体" w:hint="eastAsia"/>
          <w:color w:val="000000"/>
          <w:kern w:val="0"/>
          <w:szCs w:val="21"/>
        </w:rPr>
        <w:br/>
        <w:t>在线测试   间歇分析   定量定性分析</w:t>
      </w:r>
      <w:r w:rsidRPr="004B7ABF">
        <w:rPr>
          <w:rFonts w:ascii="微软雅黑" w:eastAsia="微软雅黑" w:hAnsi="微软雅黑" w:cs="宋体" w:hint="eastAsia"/>
          <w:color w:val="000000"/>
          <w:kern w:val="0"/>
          <w:szCs w:val="21"/>
        </w:rPr>
        <w:br/>
        <w:t>符合国标GB/T23761-2009</w:t>
      </w:r>
      <w:r w:rsidRPr="004B7ABF">
        <w:rPr>
          <w:rFonts w:ascii="微软雅黑" w:eastAsia="微软雅黑" w:hAnsi="微软雅黑" w:cs="宋体" w:hint="eastAsia"/>
          <w:color w:val="000000"/>
          <w:kern w:val="0"/>
          <w:szCs w:val="21"/>
        </w:rPr>
        <w:br/>
      </w:r>
      <w:r w:rsidRPr="004B7ABF">
        <w:rPr>
          <w:rFonts w:ascii="MS Gothic" w:eastAsia="MS Gothic" w:hAnsi="MS Gothic" w:cs="MS Gothic" w:hint="eastAsia"/>
          <w:color w:val="000000"/>
          <w:kern w:val="0"/>
          <w:szCs w:val="21"/>
        </w:rPr>
        <w:t>​</w:t>
      </w:r>
      <w:r w:rsidRPr="004B7ABF">
        <w:rPr>
          <w:rFonts w:ascii="微软雅黑" w:eastAsia="微软雅黑" w:hAnsi="微软雅黑" w:cs="宋体" w:hint="eastAsia"/>
          <w:color w:val="000000"/>
          <w:kern w:val="0"/>
          <w:szCs w:val="21"/>
        </w:rPr>
        <w:t>1）可以实现多路进气及气体输出，可任意选择管路系统</w:t>
      </w:r>
      <w:r w:rsidRPr="004B7ABF">
        <w:rPr>
          <w:rFonts w:ascii="微软雅黑" w:eastAsia="微软雅黑" w:hAnsi="微软雅黑" w:cs="宋体" w:hint="eastAsia"/>
          <w:color w:val="000000"/>
          <w:kern w:val="0"/>
          <w:szCs w:val="21"/>
        </w:rPr>
        <w:br/>
        <w:t>2）气体进气输出流量可控</w:t>
      </w:r>
      <w:r w:rsidRPr="004B7ABF">
        <w:rPr>
          <w:rFonts w:ascii="微软雅黑" w:eastAsia="微软雅黑" w:hAnsi="微软雅黑" w:cs="宋体" w:hint="eastAsia"/>
          <w:color w:val="000000"/>
          <w:kern w:val="0"/>
          <w:szCs w:val="21"/>
        </w:rPr>
        <w:br/>
        <w:t>3）气体混合室1000~2000ml </w:t>
      </w:r>
      <w:r w:rsidRPr="004B7ABF">
        <w:rPr>
          <w:rFonts w:ascii="微软雅黑" w:eastAsia="微软雅黑" w:hAnsi="微软雅黑" w:cs="宋体" w:hint="eastAsia"/>
          <w:color w:val="000000"/>
          <w:kern w:val="0"/>
          <w:szCs w:val="21"/>
        </w:rPr>
        <w:br/>
        <w:t>4）可耐压力2.0MPa</w:t>
      </w:r>
      <w:r w:rsidRPr="004B7ABF">
        <w:rPr>
          <w:rFonts w:ascii="微软雅黑" w:eastAsia="微软雅黑" w:hAnsi="微软雅黑" w:cs="宋体" w:hint="eastAsia"/>
          <w:color w:val="000000"/>
          <w:kern w:val="0"/>
          <w:szCs w:val="21"/>
        </w:rPr>
        <w:br/>
        <w:t>5）全部采用不锈钢管路系统，避免了管路污染</w:t>
      </w:r>
      <w:r w:rsidRPr="004B7ABF">
        <w:rPr>
          <w:rFonts w:ascii="微软雅黑" w:eastAsia="微软雅黑" w:hAnsi="微软雅黑" w:cs="宋体" w:hint="eastAsia"/>
          <w:color w:val="000000"/>
          <w:kern w:val="0"/>
          <w:szCs w:val="21"/>
        </w:rPr>
        <w:br/>
        <w:t>6）湿度调节 温度  压力显示</w:t>
      </w:r>
      <w:r w:rsidRPr="004B7ABF">
        <w:rPr>
          <w:rFonts w:ascii="微软雅黑" w:eastAsia="微软雅黑" w:hAnsi="微软雅黑" w:cs="宋体" w:hint="eastAsia"/>
          <w:color w:val="000000"/>
          <w:kern w:val="0"/>
          <w:szCs w:val="21"/>
        </w:rPr>
        <w:br/>
        <w:t>7）全自动流量控制</w:t>
      </w:r>
      <w:r w:rsidRPr="004B7ABF">
        <w:rPr>
          <w:rFonts w:ascii="微软雅黑" w:eastAsia="微软雅黑" w:hAnsi="微软雅黑" w:cs="宋体" w:hint="eastAsia"/>
          <w:color w:val="000000"/>
          <w:kern w:val="0"/>
          <w:szCs w:val="21"/>
        </w:rPr>
        <w:br/>
        <w:t>8）光源可根据反应器的设计不同，选择CEL系列氙灯、汞灯、卤素灯等光源。</w:t>
      </w:r>
      <w:r w:rsidRPr="004B7ABF">
        <w:rPr>
          <w:rFonts w:ascii="微软雅黑" w:eastAsia="微软雅黑" w:hAnsi="微软雅黑" w:cs="宋体" w:hint="eastAsia"/>
          <w:color w:val="000000"/>
          <w:kern w:val="0"/>
          <w:szCs w:val="21"/>
        </w:rPr>
        <w:br/>
        <w:t>9）软件系统控制</w:t>
      </w:r>
    </w:p>
    <w:p w:rsidR="004B7ABF" w:rsidRPr="004B7ABF" w:rsidRDefault="004B7ABF" w:rsidP="004B7ABF">
      <w:pPr>
        <w:widowControl/>
        <w:spacing w:after="240"/>
        <w:ind w:left="720"/>
        <w:jc w:val="left"/>
        <w:rPr>
          <w:rFonts w:ascii="Microsoft Yahei" w:eastAsia="宋体" w:hAnsi="Microsoft Yahei" w:cs="宋体"/>
          <w:color w:val="000000"/>
          <w:kern w:val="0"/>
          <w:sz w:val="18"/>
          <w:szCs w:val="18"/>
        </w:rPr>
      </w:pPr>
      <w:bookmarkStart w:id="1" w:name="two"/>
      <w:bookmarkEnd w:id="1"/>
      <w:r w:rsidRPr="004B7ABF">
        <w:rPr>
          <w:rFonts w:ascii="微软雅黑" w:eastAsia="微软雅黑" w:hAnsi="微软雅黑" w:cs="宋体" w:hint="eastAsia"/>
          <w:b/>
          <w:bCs/>
          <w:color w:val="000000"/>
          <w:kern w:val="0"/>
        </w:rPr>
        <w:t>产品应用</w:t>
      </w:r>
      <w:r w:rsidRPr="004B7ABF">
        <w:rPr>
          <w:rFonts w:ascii="微软雅黑" w:eastAsia="微软雅黑" w:hAnsi="微软雅黑" w:cs="宋体" w:hint="eastAsia"/>
          <w:color w:val="000000"/>
          <w:kern w:val="0"/>
          <w:szCs w:val="21"/>
        </w:rPr>
        <w:br/>
        <w:t>分类：连续相催化、光催化、热催化、合成催化、污染物降解、气固相光催化、气液反应等。</w:t>
      </w:r>
      <w:r w:rsidRPr="004B7ABF">
        <w:rPr>
          <w:rFonts w:ascii="微软雅黑" w:eastAsia="微软雅黑" w:hAnsi="微软雅黑" w:cs="宋体" w:hint="eastAsia"/>
          <w:color w:val="000000"/>
          <w:kern w:val="0"/>
          <w:szCs w:val="21"/>
        </w:rPr>
        <w:br/>
        <w:t>气相光催化在线测试系统主要应用于连续相光催化，气固相光催化，气液反应光催化，尤其在污染物降解，催化合成，硫化反应，热催化等领域获得很好的应用。</w:t>
      </w:r>
      <w:r w:rsidRPr="004B7ABF">
        <w:rPr>
          <w:rFonts w:ascii="微软雅黑" w:eastAsia="微软雅黑" w:hAnsi="微软雅黑" w:cs="宋体" w:hint="eastAsia"/>
          <w:color w:val="000000"/>
          <w:kern w:val="0"/>
          <w:szCs w:val="21"/>
        </w:rPr>
        <w:br/>
        <w:t>可以实现多路气体的配气混合，并按需求实现任意气体配比。可以进行相应的光催化实验。多路配气系统，多级混合反应，耐压的全不锈钢管路系统，按实际需求定制的各种混合釜，反应釜。</w:t>
      </w:r>
      <w:r w:rsidRPr="004B7ABF">
        <w:rPr>
          <w:rFonts w:ascii="Microsoft Yahei" w:eastAsia="宋体" w:hAnsi="Microsoft Yahei" w:cs="宋体"/>
          <w:color w:val="000000"/>
          <w:kern w:val="0"/>
          <w:sz w:val="18"/>
          <w:szCs w:val="18"/>
        </w:rPr>
        <w:br/>
      </w:r>
      <w:r w:rsidRPr="004B7ABF">
        <w:rPr>
          <w:rFonts w:ascii="Microsoft Yahei" w:eastAsia="宋体" w:hAnsi="Microsoft Yahei" w:cs="宋体"/>
          <w:color w:val="000000"/>
          <w:kern w:val="0"/>
          <w:sz w:val="18"/>
          <w:szCs w:val="18"/>
        </w:rPr>
        <w:lastRenderedPageBreak/>
        <w:br/>
      </w:r>
      <w:r>
        <w:rPr>
          <w:rFonts w:ascii="Microsoft Yahei" w:eastAsia="宋体" w:hAnsi="Microsoft Yahei" w:cs="宋体" w:hint="eastAsia"/>
          <w:noProof/>
          <w:color w:val="000000"/>
          <w:kern w:val="0"/>
          <w:sz w:val="18"/>
          <w:szCs w:val="18"/>
        </w:rPr>
        <w:drawing>
          <wp:inline distT="0" distB="0" distL="0" distR="0">
            <wp:extent cx="5591175" cy="3162300"/>
            <wp:effectExtent l="19050" t="0" r="9525" b="0"/>
            <wp:docPr id="1" name="图片 1" descr="http://test92.cindanet.com/uploadfile/2017/0608/20170608110944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92.cindanet.com/uploadfile/2017/0608/20170608110944402.png"/>
                    <pic:cNvPicPr>
                      <a:picLocks noChangeAspect="1" noChangeArrowheads="1"/>
                    </pic:cNvPicPr>
                  </pic:nvPicPr>
                  <pic:blipFill>
                    <a:blip r:embed="rId6"/>
                    <a:srcRect/>
                    <a:stretch>
                      <a:fillRect/>
                    </a:stretch>
                  </pic:blipFill>
                  <pic:spPr bwMode="auto">
                    <a:xfrm>
                      <a:off x="0" y="0"/>
                      <a:ext cx="5591175" cy="3162300"/>
                    </a:xfrm>
                    <a:prstGeom prst="rect">
                      <a:avLst/>
                    </a:prstGeom>
                    <a:noFill/>
                    <a:ln w="9525">
                      <a:noFill/>
                      <a:miter lim="800000"/>
                      <a:headEnd/>
                      <a:tailEnd/>
                    </a:ln>
                  </pic:spPr>
                </pic:pic>
              </a:graphicData>
            </a:graphic>
          </wp:inline>
        </w:drawing>
      </w:r>
    </w:p>
    <w:p w:rsidR="004B7ABF" w:rsidRPr="004B7ABF" w:rsidRDefault="004B7ABF" w:rsidP="004B7ABF">
      <w:pPr>
        <w:widowControl/>
        <w:spacing w:after="240"/>
        <w:ind w:left="720"/>
        <w:jc w:val="left"/>
        <w:rPr>
          <w:rFonts w:ascii="Microsoft Yahei" w:eastAsia="宋体" w:hAnsi="Microsoft Yahei" w:cs="宋体"/>
          <w:color w:val="000000"/>
          <w:kern w:val="0"/>
          <w:sz w:val="18"/>
          <w:szCs w:val="18"/>
        </w:rPr>
      </w:pPr>
      <w:bookmarkStart w:id="2" w:name="three"/>
      <w:bookmarkEnd w:id="2"/>
      <w:r w:rsidRPr="004B7ABF">
        <w:rPr>
          <w:rFonts w:ascii="微软雅黑" w:eastAsia="微软雅黑" w:hAnsi="微软雅黑" w:cs="宋体" w:hint="eastAsia"/>
          <w:b/>
          <w:bCs/>
          <w:color w:val="000000"/>
          <w:kern w:val="0"/>
        </w:rPr>
        <w:t>详细介绍</w:t>
      </w:r>
      <w:r w:rsidRPr="004B7ABF">
        <w:rPr>
          <w:rFonts w:ascii="微软雅黑" w:eastAsia="微软雅黑" w:hAnsi="微软雅黑" w:cs="宋体" w:hint="eastAsia"/>
          <w:color w:val="000000"/>
          <w:kern w:val="0"/>
          <w:szCs w:val="21"/>
        </w:rPr>
        <w:br/>
        <w:t>     气相催化系统是将光催化材料样品置于含有污染物的空气中，以获得其在光作用下净化空气的性能。其中，以甲醛、乙醛等作为反应污染物。测试时，反应气一次通过反应器，此时反应器中的样品在光照作用下氧化分解甲醛、乙醛，得到光照后反应器出口处甲醛、乙醛的浓度，将此值与光照前的出口浓度比较得出甲醛、乙醛的光催化降解率。提高反应物浓度，重复测试样品的甲醛、乙醛的光催化降解量，与第一次测试结果进行比较得出光催化性能的稳定性大小。最后以甲醛、乙醛的光催化降解率和稳定性评价光催化材料样品的空气净化性能。</w:t>
      </w:r>
      <w:r w:rsidRPr="004B7ABF">
        <w:rPr>
          <w:rFonts w:ascii="微软雅黑" w:eastAsia="微软雅黑" w:hAnsi="微软雅黑" w:cs="宋体" w:hint="eastAsia"/>
          <w:color w:val="000000"/>
          <w:kern w:val="0"/>
          <w:szCs w:val="21"/>
        </w:rPr>
        <w:br/>
        <w:t>气相催化系统是由反应系统、气路系统、光源系统和分析系统组成。</w:t>
      </w:r>
      <w:r w:rsidRPr="004B7ABF">
        <w:rPr>
          <w:rFonts w:ascii="微软雅黑" w:eastAsia="微软雅黑" w:hAnsi="微软雅黑" w:cs="宋体" w:hint="eastAsia"/>
          <w:color w:val="000000"/>
          <w:kern w:val="0"/>
          <w:szCs w:val="21"/>
        </w:rPr>
        <w:br/>
        <w:t>样品的气相光催化性能测试可以在连续流动反应装置中进行，也可以在封闭的反应装置中进行，反应装置由反应器、气路供应、光源系统、光催化反应器组成。反应气体由标准甲醛气、乙醛气、氧气、氮气、空气等混合制得。一定温度下，已知浓度的甲醛、乙醛反应气以恒定流量连续通入反应器中或间歇性通入反应器中均可。</w:t>
      </w:r>
      <w:r w:rsidRPr="004B7ABF">
        <w:rPr>
          <w:rFonts w:ascii="微软雅黑" w:eastAsia="微软雅黑" w:hAnsi="微软雅黑" w:cs="宋体" w:hint="eastAsia"/>
          <w:color w:val="000000"/>
          <w:kern w:val="0"/>
          <w:szCs w:val="21"/>
        </w:rPr>
        <w:lastRenderedPageBreak/>
        <w:t>反应气的流量和甲醛、乙醛浓度由气体质量流量计分别控制实现。</w:t>
      </w:r>
      <w:r w:rsidRPr="004B7ABF">
        <w:rPr>
          <w:rFonts w:ascii="微软雅黑" w:eastAsia="微软雅黑" w:hAnsi="微软雅黑" w:cs="宋体" w:hint="eastAsia"/>
          <w:color w:val="000000"/>
          <w:kern w:val="0"/>
          <w:szCs w:val="21"/>
        </w:rPr>
        <w:br/>
      </w:r>
      <w:r>
        <w:rPr>
          <w:rFonts w:ascii="微软雅黑" w:eastAsia="微软雅黑" w:hAnsi="微软雅黑" w:cs="宋体"/>
          <w:noProof/>
          <w:color w:val="000000"/>
          <w:kern w:val="0"/>
          <w:szCs w:val="21"/>
        </w:rPr>
        <w:drawing>
          <wp:inline distT="0" distB="0" distL="0" distR="0">
            <wp:extent cx="4371975" cy="2952750"/>
            <wp:effectExtent l="19050" t="0" r="9525" b="0"/>
            <wp:docPr id="2" name="图片 2" descr="http://test92.cindanet.com/uploadfile/2017/0608/20170608110733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92.cindanet.com/uploadfile/2017/0608/20170608110733835.png"/>
                    <pic:cNvPicPr>
                      <a:picLocks noChangeAspect="1" noChangeArrowheads="1"/>
                    </pic:cNvPicPr>
                  </pic:nvPicPr>
                  <pic:blipFill>
                    <a:blip r:embed="rId7"/>
                    <a:srcRect/>
                    <a:stretch>
                      <a:fillRect/>
                    </a:stretch>
                  </pic:blipFill>
                  <pic:spPr bwMode="auto">
                    <a:xfrm>
                      <a:off x="0" y="0"/>
                      <a:ext cx="4371975" cy="2952750"/>
                    </a:xfrm>
                    <a:prstGeom prst="rect">
                      <a:avLst/>
                    </a:prstGeom>
                    <a:noFill/>
                    <a:ln w="9525">
                      <a:noFill/>
                      <a:miter lim="800000"/>
                      <a:headEnd/>
                      <a:tailEnd/>
                    </a:ln>
                  </pic:spPr>
                </pic:pic>
              </a:graphicData>
            </a:graphic>
          </wp:inline>
        </w:drawing>
      </w:r>
      <w:r w:rsidRPr="004B7ABF">
        <w:rPr>
          <w:rFonts w:ascii="微软雅黑" w:eastAsia="微软雅黑" w:hAnsi="微软雅黑" w:cs="宋体" w:hint="eastAsia"/>
          <w:color w:val="000000"/>
          <w:kern w:val="0"/>
          <w:szCs w:val="21"/>
        </w:rPr>
        <w:br/>
      </w:r>
      <w:r w:rsidRPr="004B7ABF">
        <w:rPr>
          <w:rFonts w:ascii="微软雅黑" w:eastAsia="微软雅黑" w:hAnsi="微软雅黑" w:cs="宋体" w:hint="eastAsia"/>
          <w:b/>
          <w:bCs/>
          <w:color w:val="000000"/>
          <w:kern w:val="0"/>
          <w:szCs w:val="21"/>
        </w:rPr>
        <w:t>GB/T23761-2009 国标反应装置原理</w:t>
      </w:r>
      <w:r w:rsidRPr="004B7ABF">
        <w:rPr>
          <w:rFonts w:ascii="微软雅黑" w:eastAsia="微软雅黑" w:hAnsi="微软雅黑" w:cs="宋体" w:hint="eastAsia"/>
          <w:color w:val="000000"/>
          <w:kern w:val="0"/>
          <w:szCs w:val="21"/>
        </w:rPr>
        <w:br/>
      </w:r>
      <w:r w:rsidRPr="004B7ABF">
        <w:rPr>
          <w:rFonts w:ascii="微软雅黑" w:eastAsia="微软雅黑" w:hAnsi="微软雅黑" w:cs="宋体" w:hint="eastAsia"/>
          <w:color w:val="000000"/>
          <w:kern w:val="0"/>
          <w:szCs w:val="21"/>
        </w:rPr>
        <w:br/>
      </w:r>
      <w:r w:rsidRPr="004B7ABF">
        <w:rPr>
          <w:rFonts w:ascii="微软雅黑" w:eastAsia="微软雅黑" w:hAnsi="微软雅黑" w:cs="宋体" w:hint="eastAsia"/>
          <w:b/>
          <w:bCs/>
          <w:color w:val="000000"/>
          <w:kern w:val="0"/>
          <w:szCs w:val="21"/>
        </w:rPr>
        <w:t>有害气体气相催化原理图（采用环形照射）</w:t>
      </w:r>
      <w:r w:rsidRPr="004B7ABF">
        <w:rPr>
          <w:rFonts w:ascii="微软雅黑" w:eastAsia="微软雅黑" w:hAnsi="微软雅黑" w:cs="宋体" w:hint="eastAsia"/>
          <w:color w:val="000000"/>
          <w:kern w:val="0"/>
          <w:szCs w:val="21"/>
        </w:rPr>
        <w:br/>
      </w:r>
      <w:r>
        <w:rPr>
          <w:rFonts w:ascii="微软雅黑" w:eastAsia="微软雅黑" w:hAnsi="微软雅黑" w:cs="宋体"/>
          <w:noProof/>
          <w:color w:val="000000"/>
          <w:kern w:val="0"/>
          <w:szCs w:val="21"/>
        </w:rPr>
        <w:lastRenderedPageBreak/>
        <w:drawing>
          <wp:inline distT="0" distB="0" distL="0" distR="0">
            <wp:extent cx="3848100" cy="4695825"/>
            <wp:effectExtent l="19050" t="0" r="0" b="0"/>
            <wp:docPr id="3" name="图片 3" descr="http://test92.cindanet.com/uploadfile/2017/0608/201706081054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92.cindanet.com/uploadfile/2017/0608/20170608105425941.png"/>
                    <pic:cNvPicPr>
                      <a:picLocks noChangeAspect="1" noChangeArrowheads="1"/>
                    </pic:cNvPicPr>
                  </pic:nvPicPr>
                  <pic:blipFill>
                    <a:blip r:embed="rId8"/>
                    <a:srcRect/>
                    <a:stretch>
                      <a:fillRect/>
                    </a:stretch>
                  </pic:blipFill>
                  <pic:spPr bwMode="auto">
                    <a:xfrm>
                      <a:off x="0" y="0"/>
                      <a:ext cx="3848100" cy="4695825"/>
                    </a:xfrm>
                    <a:prstGeom prst="rect">
                      <a:avLst/>
                    </a:prstGeom>
                    <a:noFill/>
                    <a:ln w="9525">
                      <a:noFill/>
                      <a:miter lim="800000"/>
                      <a:headEnd/>
                      <a:tailEnd/>
                    </a:ln>
                  </pic:spPr>
                </pic:pic>
              </a:graphicData>
            </a:graphic>
          </wp:inline>
        </w:drawing>
      </w:r>
      <w:r w:rsidRPr="004B7ABF">
        <w:rPr>
          <w:rFonts w:ascii="微软雅黑" w:eastAsia="微软雅黑" w:hAnsi="微软雅黑" w:cs="宋体" w:hint="eastAsia"/>
          <w:color w:val="000000"/>
          <w:kern w:val="0"/>
          <w:szCs w:val="21"/>
        </w:rPr>
        <w:br/>
      </w:r>
      <w:r w:rsidRPr="004B7ABF">
        <w:rPr>
          <w:rFonts w:ascii="微软雅黑" w:eastAsia="微软雅黑" w:hAnsi="微软雅黑" w:cs="宋体" w:hint="eastAsia"/>
          <w:color w:val="000000"/>
          <w:kern w:val="0"/>
          <w:szCs w:val="21"/>
        </w:rPr>
        <w:br/>
        <w:t>设计加工原理图（可根据用户具体需求修改）</w:t>
      </w:r>
    </w:p>
    <w:p w:rsidR="004B7ABF" w:rsidRPr="004B7ABF" w:rsidRDefault="004B7ABF" w:rsidP="004B7ABF">
      <w:pPr>
        <w:widowControl/>
        <w:ind w:left="720"/>
        <w:jc w:val="left"/>
        <w:rPr>
          <w:rFonts w:ascii="Microsoft Yahei" w:eastAsia="宋体" w:hAnsi="Microsoft Yahei" w:cs="宋体"/>
          <w:color w:val="000000"/>
          <w:kern w:val="0"/>
          <w:sz w:val="18"/>
          <w:szCs w:val="18"/>
        </w:rPr>
      </w:pPr>
      <w:bookmarkStart w:id="3" w:name="four"/>
      <w:bookmarkEnd w:id="3"/>
      <w:r w:rsidRPr="004B7ABF">
        <w:rPr>
          <w:rFonts w:ascii="微软雅黑" w:eastAsia="微软雅黑" w:hAnsi="微软雅黑" w:cs="宋体" w:hint="eastAsia"/>
          <w:color w:val="000000"/>
          <w:kern w:val="0"/>
          <w:szCs w:val="21"/>
        </w:rPr>
        <w:t>规格参数</w:t>
      </w:r>
      <w:r w:rsidRPr="004B7ABF">
        <w:rPr>
          <w:rFonts w:ascii="微软雅黑" w:eastAsia="微软雅黑" w:hAnsi="微软雅黑" w:cs="宋体" w:hint="eastAsia"/>
          <w:color w:val="000000"/>
          <w:kern w:val="0"/>
          <w:szCs w:val="21"/>
        </w:rPr>
        <w:br/>
        <w:t>推荐系统配置</w:t>
      </w:r>
    </w:p>
    <w:tbl>
      <w:tblPr>
        <w:tblW w:w="0" w:type="auto"/>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5"/>
        <w:gridCol w:w="2195"/>
        <w:gridCol w:w="3132"/>
        <w:gridCol w:w="1620"/>
      </w:tblGrid>
      <w:tr w:rsidR="004B7ABF" w:rsidRPr="004B7ABF" w:rsidTr="004B7ABF">
        <w:tc>
          <w:tcPr>
            <w:tcW w:w="780"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t>序号</w:t>
            </w:r>
          </w:p>
        </w:tc>
        <w:tc>
          <w:tcPr>
            <w:tcW w:w="2535"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t>名称</w:t>
            </w:r>
          </w:p>
        </w:tc>
        <w:tc>
          <w:tcPr>
            <w:tcW w:w="3240"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t>型号规格</w:t>
            </w:r>
          </w:p>
        </w:tc>
        <w:tc>
          <w:tcPr>
            <w:tcW w:w="1965"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t>说明</w:t>
            </w:r>
          </w:p>
        </w:tc>
      </w:tr>
      <w:tr w:rsidR="004B7ABF" w:rsidRPr="004B7ABF" w:rsidTr="004B7ABF">
        <w:tc>
          <w:tcPr>
            <w:tcW w:w="780"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t>1</w:t>
            </w:r>
          </w:p>
        </w:tc>
        <w:tc>
          <w:tcPr>
            <w:tcW w:w="2535"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t>CEL-GPPC气相催化系统（主机部分）</w:t>
            </w:r>
          </w:p>
        </w:tc>
        <w:tc>
          <w:tcPr>
            <w:tcW w:w="3240"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t>CEL-GPPC，标准配置三路进气系统，含不锈钢平台</w:t>
            </w:r>
          </w:p>
        </w:tc>
        <w:tc>
          <w:tcPr>
            <w:tcW w:w="1965"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t>主机系统，用于调整反应气体的配比和流量</w:t>
            </w:r>
          </w:p>
        </w:tc>
      </w:tr>
      <w:tr w:rsidR="004B7ABF" w:rsidRPr="004B7ABF" w:rsidTr="004B7ABF">
        <w:tc>
          <w:tcPr>
            <w:tcW w:w="780"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t>2</w:t>
            </w:r>
          </w:p>
        </w:tc>
        <w:tc>
          <w:tcPr>
            <w:tcW w:w="2535"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t>氙灯光源系统</w:t>
            </w:r>
          </w:p>
        </w:tc>
        <w:tc>
          <w:tcPr>
            <w:tcW w:w="3240"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t>CEL-HXF300/CEL-HXUV300氙</w:t>
            </w:r>
            <w:r w:rsidRPr="004B7ABF">
              <w:rPr>
                <w:rFonts w:ascii="微软雅黑" w:eastAsia="微软雅黑" w:hAnsi="微软雅黑" w:cs="宋体" w:hint="eastAsia"/>
                <w:color w:val="000000"/>
                <w:kern w:val="0"/>
                <w:szCs w:val="21"/>
              </w:rPr>
              <w:lastRenderedPageBreak/>
              <w:t>灯光源系统，光功率计，滤光片</w:t>
            </w:r>
          </w:p>
        </w:tc>
        <w:tc>
          <w:tcPr>
            <w:tcW w:w="1965"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Microsoft Yahei" w:eastAsia="宋体" w:hAnsi="Microsoft Yahei" w:cs="宋体"/>
                <w:color w:val="000000"/>
                <w:kern w:val="0"/>
                <w:sz w:val="18"/>
                <w:szCs w:val="18"/>
              </w:rPr>
              <w:lastRenderedPageBreak/>
              <w:t> </w:t>
            </w:r>
          </w:p>
        </w:tc>
      </w:tr>
      <w:tr w:rsidR="004B7ABF" w:rsidRPr="004B7ABF" w:rsidTr="004B7ABF">
        <w:tc>
          <w:tcPr>
            <w:tcW w:w="780"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lastRenderedPageBreak/>
              <w:t>3</w:t>
            </w:r>
          </w:p>
        </w:tc>
        <w:tc>
          <w:tcPr>
            <w:tcW w:w="2535"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t>光化学反应釜</w:t>
            </w:r>
          </w:p>
        </w:tc>
        <w:tc>
          <w:tcPr>
            <w:tcW w:w="3240"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t>CEL-HPR100，光化学反应釜</w:t>
            </w:r>
          </w:p>
        </w:tc>
        <w:tc>
          <w:tcPr>
            <w:tcW w:w="1965" w:type="dxa"/>
            <w:tcBorders>
              <w:top w:val="outset" w:sz="6" w:space="0" w:color="auto"/>
              <w:left w:val="outset" w:sz="6" w:space="0" w:color="auto"/>
              <w:bottom w:val="outset" w:sz="6" w:space="0" w:color="auto"/>
              <w:right w:val="outset" w:sz="6" w:space="0" w:color="auto"/>
            </w:tcBorders>
            <w:vAlign w:val="center"/>
            <w:hideMark/>
          </w:tcPr>
          <w:p w:rsidR="004B7ABF" w:rsidRPr="004B7ABF" w:rsidRDefault="004B7ABF" w:rsidP="004B7ABF">
            <w:pPr>
              <w:widowControl/>
              <w:jc w:val="left"/>
              <w:rPr>
                <w:rFonts w:ascii="Microsoft Yahei" w:eastAsia="宋体" w:hAnsi="Microsoft Yahei" w:cs="宋体"/>
                <w:color w:val="000000"/>
                <w:kern w:val="0"/>
                <w:sz w:val="18"/>
                <w:szCs w:val="18"/>
              </w:rPr>
            </w:pPr>
            <w:r w:rsidRPr="004B7ABF">
              <w:rPr>
                <w:rFonts w:ascii="微软雅黑" w:eastAsia="微软雅黑" w:hAnsi="微软雅黑" w:cs="宋体" w:hint="eastAsia"/>
                <w:color w:val="000000"/>
                <w:kern w:val="0"/>
                <w:szCs w:val="21"/>
              </w:rPr>
              <w:t>用于高压催化反应</w:t>
            </w:r>
          </w:p>
        </w:tc>
      </w:tr>
    </w:tbl>
    <w:p w:rsidR="004B7ABF" w:rsidRPr="004B7ABF" w:rsidRDefault="004B7ABF" w:rsidP="004B7ABF">
      <w:pPr>
        <w:widowControl/>
        <w:ind w:left="720"/>
        <w:jc w:val="left"/>
        <w:rPr>
          <w:rFonts w:ascii="Microsoft Yahei" w:eastAsia="宋体" w:hAnsi="Microsoft Yahei" w:cs="宋体"/>
          <w:color w:val="000000"/>
          <w:kern w:val="0"/>
          <w:sz w:val="18"/>
          <w:szCs w:val="18"/>
        </w:rPr>
      </w:pPr>
      <w:r w:rsidRPr="004B7ABF">
        <w:rPr>
          <w:rFonts w:ascii="Microsoft Yahei" w:eastAsia="宋体" w:hAnsi="Microsoft Yahei" w:cs="宋体"/>
          <w:color w:val="000000"/>
          <w:kern w:val="0"/>
          <w:sz w:val="18"/>
          <w:szCs w:val="18"/>
        </w:rPr>
        <w:br/>
      </w:r>
      <w:r w:rsidRPr="004B7ABF">
        <w:rPr>
          <w:rFonts w:ascii="Microsoft Yahei" w:eastAsia="宋体" w:hAnsi="Microsoft Yahei" w:cs="宋体"/>
          <w:color w:val="000000"/>
          <w:kern w:val="0"/>
          <w:sz w:val="18"/>
          <w:szCs w:val="18"/>
        </w:rPr>
        <w:br/>
      </w:r>
      <w:r w:rsidRPr="004B7ABF">
        <w:rPr>
          <w:rFonts w:ascii="微软雅黑" w:eastAsia="微软雅黑" w:hAnsi="微软雅黑" w:cs="宋体" w:hint="eastAsia"/>
          <w:color w:val="000000"/>
          <w:kern w:val="0"/>
          <w:szCs w:val="21"/>
        </w:rPr>
        <w:t>气相光催化系统反应器的选配</w:t>
      </w:r>
      <w:r w:rsidRPr="004B7ABF">
        <w:rPr>
          <w:rFonts w:ascii="微软雅黑" w:eastAsia="微软雅黑" w:hAnsi="微软雅黑" w:cs="宋体" w:hint="eastAsia"/>
          <w:b/>
          <w:bCs/>
          <w:color w:val="000000"/>
          <w:kern w:val="0"/>
          <w:szCs w:val="21"/>
        </w:rPr>
        <w:t>（以下反应器均为选配件）</w:t>
      </w:r>
      <w:r w:rsidRPr="004B7ABF">
        <w:rPr>
          <w:rFonts w:ascii="微软雅黑" w:eastAsia="微软雅黑" w:hAnsi="微软雅黑" w:cs="宋体" w:hint="eastAsia"/>
          <w:color w:val="000000"/>
          <w:kern w:val="0"/>
          <w:szCs w:val="21"/>
        </w:rPr>
        <w:br/>
        <w:t> </w:t>
      </w:r>
      <w:r w:rsidRPr="004B7ABF">
        <w:rPr>
          <w:rFonts w:ascii="微软雅黑" w:eastAsia="微软雅黑" w:hAnsi="微软雅黑" w:cs="宋体" w:hint="eastAsia"/>
          <w:b/>
          <w:bCs/>
          <w:color w:val="000000"/>
          <w:kern w:val="0"/>
          <w:szCs w:val="21"/>
        </w:rPr>
        <w:t>1）国标测试专用反应器</w:t>
      </w:r>
      <w:r w:rsidRPr="004B7ABF">
        <w:rPr>
          <w:rFonts w:ascii="微软雅黑" w:eastAsia="微软雅黑" w:hAnsi="微软雅黑" w:cs="宋体" w:hint="eastAsia"/>
          <w:color w:val="000000"/>
          <w:kern w:val="0"/>
          <w:szCs w:val="21"/>
        </w:rPr>
        <w:br/>
        <w:t>   根据光催化空气净化材料性能测试方法GB/T23761-2009的标准，设计的专用光催化材料的反应器。</w:t>
      </w:r>
      <w:r w:rsidRPr="004B7ABF">
        <w:rPr>
          <w:rFonts w:ascii="微软雅黑" w:eastAsia="微软雅黑" w:hAnsi="微软雅黑" w:cs="宋体" w:hint="eastAsia"/>
          <w:color w:val="000000"/>
          <w:kern w:val="0"/>
          <w:szCs w:val="21"/>
        </w:rPr>
        <w:br/>
        <w:t>   光催化反应器是一个全密闭的方形反应器，其内部装有200mm*100mm大小、可调节高度的支撑块，测试样品放置在支撑块上。支撑块上方有一与其平行的光路窗口，反应器外部的紫外光通过此窗口照射到样片表面。通过调节支撑块的高度使得样片表面与窗口之间的距离大于5.0mm。反应气只能在样片表面和窗口之间通过。光路窗口材料可选用石英玻璃或硼玻璃。</w:t>
      </w:r>
      <w:r w:rsidRPr="004B7ABF">
        <w:rPr>
          <w:rFonts w:ascii="微软雅黑" w:eastAsia="微软雅黑" w:hAnsi="微软雅黑" w:cs="宋体" w:hint="eastAsia"/>
          <w:color w:val="000000"/>
          <w:kern w:val="0"/>
          <w:szCs w:val="21"/>
        </w:rPr>
        <w:br/>
      </w:r>
      <w:r>
        <w:rPr>
          <w:rFonts w:ascii="微软雅黑" w:eastAsia="微软雅黑" w:hAnsi="微软雅黑" w:cs="宋体"/>
          <w:noProof/>
          <w:color w:val="000000"/>
          <w:kern w:val="0"/>
          <w:szCs w:val="21"/>
        </w:rPr>
        <w:drawing>
          <wp:inline distT="0" distB="0" distL="0" distR="0">
            <wp:extent cx="3038475" cy="2324100"/>
            <wp:effectExtent l="19050" t="0" r="9525" b="0"/>
            <wp:docPr id="4" name="图片 4" descr="http://test92.cindanet.com/uploadfile/2017/0608/20170608110652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92.cindanet.com/uploadfile/2017/0608/20170608110652664.jpg"/>
                    <pic:cNvPicPr>
                      <a:picLocks noChangeAspect="1" noChangeArrowheads="1"/>
                    </pic:cNvPicPr>
                  </pic:nvPicPr>
                  <pic:blipFill>
                    <a:blip r:embed="rId9"/>
                    <a:srcRect/>
                    <a:stretch>
                      <a:fillRect/>
                    </a:stretch>
                  </pic:blipFill>
                  <pic:spPr bwMode="auto">
                    <a:xfrm>
                      <a:off x="0" y="0"/>
                      <a:ext cx="3038475" cy="2324100"/>
                    </a:xfrm>
                    <a:prstGeom prst="rect">
                      <a:avLst/>
                    </a:prstGeom>
                    <a:noFill/>
                    <a:ln w="9525">
                      <a:noFill/>
                      <a:miter lim="800000"/>
                      <a:headEnd/>
                      <a:tailEnd/>
                    </a:ln>
                  </pic:spPr>
                </pic:pic>
              </a:graphicData>
            </a:graphic>
          </wp:inline>
        </w:drawing>
      </w:r>
      <w:r w:rsidRPr="004B7ABF">
        <w:rPr>
          <w:rFonts w:ascii="微软雅黑" w:eastAsia="微软雅黑" w:hAnsi="微软雅黑" w:cs="宋体" w:hint="eastAsia"/>
          <w:color w:val="000000"/>
          <w:kern w:val="0"/>
          <w:szCs w:val="21"/>
        </w:rPr>
        <w:br/>
      </w:r>
      <w:r w:rsidRPr="004B7ABF">
        <w:rPr>
          <w:rFonts w:ascii="微软雅黑" w:eastAsia="微软雅黑" w:hAnsi="微软雅黑" w:cs="宋体" w:hint="eastAsia"/>
          <w:color w:val="000000"/>
          <w:kern w:val="0"/>
          <w:szCs w:val="21"/>
        </w:rPr>
        <w:br/>
      </w:r>
      <w:r w:rsidRPr="004B7ABF">
        <w:rPr>
          <w:rFonts w:ascii="微软雅黑" w:eastAsia="微软雅黑" w:hAnsi="微软雅黑" w:cs="宋体" w:hint="eastAsia"/>
          <w:b/>
          <w:bCs/>
          <w:color w:val="000000"/>
          <w:kern w:val="0"/>
          <w:szCs w:val="21"/>
        </w:rPr>
        <w:t>2）常压投射式反应器</w:t>
      </w:r>
      <w:r w:rsidRPr="004B7ABF">
        <w:rPr>
          <w:rFonts w:ascii="微软雅黑" w:eastAsia="微软雅黑" w:hAnsi="微软雅黑" w:cs="宋体" w:hint="eastAsia"/>
          <w:color w:val="000000"/>
          <w:kern w:val="0"/>
          <w:szCs w:val="21"/>
        </w:rPr>
        <w:br/>
      </w:r>
      <w:r w:rsidRPr="004B7ABF">
        <w:rPr>
          <w:rFonts w:ascii="微软雅黑" w:eastAsia="微软雅黑" w:hAnsi="微软雅黑" w:cs="宋体" w:hint="eastAsia"/>
          <w:b/>
          <w:bCs/>
          <w:color w:val="000000"/>
          <w:kern w:val="0"/>
          <w:szCs w:val="21"/>
        </w:rPr>
        <w:t>常压反应器配置</w:t>
      </w:r>
      <w:r w:rsidRPr="004B7ABF">
        <w:rPr>
          <w:rFonts w:ascii="微软雅黑" w:eastAsia="微软雅黑" w:hAnsi="微软雅黑" w:cs="宋体" w:hint="eastAsia"/>
          <w:color w:val="000000"/>
          <w:kern w:val="0"/>
          <w:szCs w:val="21"/>
        </w:rPr>
        <w:br/>
      </w:r>
      <w:r w:rsidRPr="004B7ABF">
        <w:rPr>
          <w:rFonts w:ascii="微软雅黑" w:eastAsia="微软雅黑" w:hAnsi="微软雅黑" w:cs="宋体" w:hint="eastAsia"/>
          <w:color w:val="000000"/>
          <w:kern w:val="0"/>
          <w:szCs w:val="21"/>
        </w:rPr>
        <w:lastRenderedPageBreak/>
        <w:t>反应器250ml或100ml可选，具19#标准磨口；</w:t>
      </w:r>
      <w:r w:rsidRPr="004B7ABF">
        <w:rPr>
          <w:rFonts w:ascii="微软雅黑" w:eastAsia="微软雅黑" w:hAnsi="微软雅黑" w:cs="宋体" w:hint="eastAsia"/>
          <w:color w:val="000000"/>
          <w:kern w:val="0"/>
          <w:szCs w:val="21"/>
        </w:rPr>
        <w:br/>
        <w:t>石英上盖，法兰接口，密封圈，专用夹具，标准磨口塞，橡胶塞等。</w:t>
      </w:r>
      <w:r w:rsidRPr="004B7ABF">
        <w:rPr>
          <w:rFonts w:ascii="微软雅黑" w:eastAsia="微软雅黑" w:hAnsi="微软雅黑" w:cs="宋体" w:hint="eastAsia"/>
          <w:color w:val="000000"/>
          <w:kern w:val="0"/>
          <w:szCs w:val="21"/>
        </w:rPr>
        <w:br/>
        <w:t>该反应器应用范围比较广泛，可以应用到光催化相关的光降解有机物、常压的气相分析、可以放入膜系催化剂、气液相连续反应等。而且可选择的光源种类也比较多，可选常用的光催化专用光源CEL-HX300氙灯光源，也可以选用外照长弧氙灯或汞灯光源CEL-WLAX500，WLAM500。</w:t>
      </w:r>
      <w:r w:rsidRPr="004B7ABF">
        <w:rPr>
          <w:rFonts w:ascii="微软雅黑" w:eastAsia="微软雅黑" w:hAnsi="微软雅黑" w:cs="宋体" w:hint="eastAsia"/>
          <w:color w:val="000000"/>
          <w:kern w:val="0"/>
          <w:szCs w:val="21"/>
        </w:rPr>
        <w:br/>
      </w:r>
      <w:r>
        <w:rPr>
          <w:rFonts w:ascii="微软雅黑" w:eastAsia="微软雅黑" w:hAnsi="微软雅黑" w:cs="宋体"/>
          <w:noProof/>
          <w:color w:val="000000"/>
          <w:kern w:val="0"/>
          <w:szCs w:val="21"/>
        </w:rPr>
        <w:drawing>
          <wp:inline distT="0" distB="0" distL="0" distR="0">
            <wp:extent cx="4991100" cy="3333750"/>
            <wp:effectExtent l="19050" t="0" r="0" b="0"/>
            <wp:docPr id="5" name="图片 5" descr="http://test92.cindanet.com/uploadfile/2017/0608/20170608110606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92.cindanet.com/uploadfile/2017/0608/20170608110606408.jpg"/>
                    <pic:cNvPicPr>
                      <a:picLocks noChangeAspect="1" noChangeArrowheads="1"/>
                    </pic:cNvPicPr>
                  </pic:nvPicPr>
                  <pic:blipFill>
                    <a:blip r:embed="rId10"/>
                    <a:srcRect/>
                    <a:stretch>
                      <a:fillRect/>
                    </a:stretch>
                  </pic:blipFill>
                  <pic:spPr bwMode="auto">
                    <a:xfrm>
                      <a:off x="0" y="0"/>
                      <a:ext cx="4991100" cy="3333750"/>
                    </a:xfrm>
                    <a:prstGeom prst="rect">
                      <a:avLst/>
                    </a:prstGeom>
                    <a:noFill/>
                    <a:ln w="9525">
                      <a:noFill/>
                      <a:miter lim="800000"/>
                      <a:headEnd/>
                      <a:tailEnd/>
                    </a:ln>
                  </pic:spPr>
                </pic:pic>
              </a:graphicData>
            </a:graphic>
          </wp:inline>
        </w:drawing>
      </w:r>
      <w:r w:rsidRPr="004B7ABF">
        <w:rPr>
          <w:rFonts w:ascii="微软雅黑" w:eastAsia="微软雅黑" w:hAnsi="微软雅黑" w:cs="宋体" w:hint="eastAsia"/>
          <w:color w:val="000000"/>
          <w:kern w:val="0"/>
          <w:szCs w:val="21"/>
        </w:rPr>
        <w:br/>
      </w:r>
      <w:r w:rsidRPr="004B7ABF">
        <w:rPr>
          <w:rFonts w:ascii="微软雅黑" w:eastAsia="微软雅黑" w:hAnsi="微软雅黑" w:cs="宋体" w:hint="eastAsia"/>
          <w:b/>
          <w:bCs/>
          <w:color w:val="000000"/>
          <w:kern w:val="0"/>
          <w:szCs w:val="21"/>
        </w:rPr>
        <w:t>3）高压反应釜</w:t>
      </w:r>
      <w:r w:rsidRPr="004B7ABF">
        <w:rPr>
          <w:rFonts w:ascii="微软雅黑" w:eastAsia="微软雅黑" w:hAnsi="微软雅黑" w:cs="宋体" w:hint="eastAsia"/>
          <w:color w:val="000000"/>
          <w:kern w:val="0"/>
          <w:szCs w:val="21"/>
        </w:rPr>
        <w:br/>
        <w:t>适用于光化学高压反应、二氧化碳CO2还原、二氧化碳CO2还原制甲醇CH3OH、二氧化碳CO2还原制甲烷CH4、氮氧化物NOx的还原降解、甲醛的高压光催化降解等领域 。</w:t>
      </w:r>
      <w:r w:rsidRPr="004B7ABF">
        <w:rPr>
          <w:rFonts w:ascii="微软雅黑" w:eastAsia="微软雅黑" w:hAnsi="微软雅黑" w:cs="宋体" w:hint="eastAsia"/>
          <w:color w:val="000000"/>
          <w:kern w:val="0"/>
          <w:szCs w:val="21"/>
        </w:rPr>
        <w:br/>
        <w:t>适合少量样品的反应，是昂贵或低产量原材料样品测试的最理想的反应装置。</w:t>
      </w:r>
      <w:r w:rsidRPr="004B7ABF">
        <w:rPr>
          <w:rFonts w:ascii="微软雅黑" w:eastAsia="微软雅黑" w:hAnsi="微软雅黑" w:cs="宋体" w:hint="eastAsia"/>
          <w:color w:val="000000"/>
          <w:kern w:val="0"/>
          <w:szCs w:val="21"/>
        </w:rPr>
        <w:br/>
      </w:r>
      <w:r>
        <w:rPr>
          <w:rFonts w:ascii="微软雅黑" w:eastAsia="微软雅黑" w:hAnsi="微软雅黑" w:cs="宋体"/>
          <w:noProof/>
          <w:color w:val="000000"/>
          <w:kern w:val="0"/>
          <w:szCs w:val="21"/>
        </w:rPr>
        <w:lastRenderedPageBreak/>
        <w:drawing>
          <wp:inline distT="0" distB="0" distL="0" distR="0">
            <wp:extent cx="4981575" cy="3314700"/>
            <wp:effectExtent l="19050" t="0" r="9525" b="0"/>
            <wp:docPr id="6" name="图片 6" descr="http://test92.cindanet.com/uploadfile/2017/0608/20170608110528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92.cindanet.com/uploadfile/2017/0608/20170608110528928.jpg"/>
                    <pic:cNvPicPr>
                      <a:picLocks noChangeAspect="1" noChangeArrowheads="1"/>
                    </pic:cNvPicPr>
                  </pic:nvPicPr>
                  <pic:blipFill>
                    <a:blip r:embed="rId11"/>
                    <a:srcRect/>
                    <a:stretch>
                      <a:fillRect/>
                    </a:stretch>
                  </pic:blipFill>
                  <pic:spPr bwMode="auto">
                    <a:xfrm>
                      <a:off x="0" y="0"/>
                      <a:ext cx="4981575" cy="3314700"/>
                    </a:xfrm>
                    <a:prstGeom prst="rect">
                      <a:avLst/>
                    </a:prstGeom>
                    <a:noFill/>
                    <a:ln w="9525">
                      <a:noFill/>
                      <a:miter lim="800000"/>
                      <a:headEnd/>
                      <a:tailEnd/>
                    </a:ln>
                  </pic:spPr>
                </pic:pic>
              </a:graphicData>
            </a:graphic>
          </wp:inline>
        </w:drawing>
      </w:r>
      <w:r w:rsidRPr="004B7ABF">
        <w:rPr>
          <w:rFonts w:ascii="微软雅黑" w:eastAsia="微软雅黑" w:hAnsi="微软雅黑" w:cs="宋体" w:hint="eastAsia"/>
          <w:color w:val="000000"/>
          <w:kern w:val="0"/>
          <w:szCs w:val="21"/>
        </w:rPr>
        <w:br/>
      </w:r>
      <w:r w:rsidRPr="004B7ABF">
        <w:rPr>
          <w:rFonts w:ascii="微软雅黑" w:eastAsia="微软雅黑" w:hAnsi="微软雅黑" w:cs="宋体" w:hint="eastAsia"/>
          <w:color w:val="000000"/>
          <w:kern w:val="0"/>
          <w:szCs w:val="21"/>
        </w:rPr>
        <w:br/>
      </w:r>
      <w:r w:rsidRPr="004B7ABF">
        <w:rPr>
          <w:rFonts w:ascii="微软雅黑" w:eastAsia="微软雅黑" w:hAnsi="微软雅黑" w:cs="宋体" w:hint="eastAsia"/>
          <w:b/>
          <w:bCs/>
          <w:color w:val="000000"/>
          <w:kern w:val="0"/>
          <w:szCs w:val="21"/>
        </w:rPr>
        <w:t>4）</w:t>
      </w:r>
      <w:r w:rsidRPr="004B7ABF">
        <w:rPr>
          <w:rFonts w:ascii="微软雅黑" w:eastAsia="微软雅黑" w:hAnsi="微软雅黑" w:cs="宋体" w:hint="eastAsia"/>
          <w:b/>
          <w:bCs/>
          <w:color w:val="000000"/>
          <w:kern w:val="0"/>
        </w:rPr>
        <w:t>气固相催化反应器</w:t>
      </w:r>
      <w:r w:rsidRPr="004B7ABF">
        <w:rPr>
          <w:rFonts w:ascii="微软雅黑" w:eastAsia="微软雅黑" w:hAnsi="微软雅黑" w:cs="宋体" w:hint="eastAsia"/>
          <w:color w:val="000000"/>
          <w:kern w:val="0"/>
          <w:szCs w:val="21"/>
        </w:rPr>
        <w:br/>
        <w:t>该气固相催化反应器，采用玻璃砂板，将固体粉末颗粒截留，形成流化床式的气固反应装置，实现了气体和固体的充分混合，有效地提高了催化剂的效率。</w:t>
      </w:r>
      <w:r w:rsidRPr="004B7ABF">
        <w:rPr>
          <w:rFonts w:ascii="微软雅黑" w:eastAsia="微软雅黑" w:hAnsi="微软雅黑" w:cs="宋体" w:hint="eastAsia"/>
          <w:color w:val="000000"/>
          <w:kern w:val="0"/>
          <w:szCs w:val="21"/>
        </w:rPr>
        <w:br/>
      </w:r>
      <w:r>
        <w:rPr>
          <w:rFonts w:ascii="微软雅黑" w:eastAsia="微软雅黑" w:hAnsi="微软雅黑" w:cs="宋体"/>
          <w:noProof/>
          <w:color w:val="000000"/>
          <w:kern w:val="0"/>
          <w:szCs w:val="21"/>
        </w:rPr>
        <w:drawing>
          <wp:inline distT="0" distB="0" distL="0" distR="0">
            <wp:extent cx="4943475" cy="2533650"/>
            <wp:effectExtent l="19050" t="0" r="9525" b="0"/>
            <wp:docPr id="7" name="图片 7" descr="http://test92.cindanet.com/uploadfile/2017/0608/20170608110433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92.cindanet.com/uploadfile/2017/0608/20170608110433925.png"/>
                    <pic:cNvPicPr>
                      <a:picLocks noChangeAspect="1" noChangeArrowheads="1"/>
                    </pic:cNvPicPr>
                  </pic:nvPicPr>
                  <pic:blipFill>
                    <a:blip r:embed="rId12"/>
                    <a:srcRect/>
                    <a:stretch>
                      <a:fillRect/>
                    </a:stretch>
                  </pic:blipFill>
                  <pic:spPr bwMode="auto">
                    <a:xfrm>
                      <a:off x="0" y="0"/>
                      <a:ext cx="4943475" cy="2533650"/>
                    </a:xfrm>
                    <a:prstGeom prst="rect">
                      <a:avLst/>
                    </a:prstGeom>
                    <a:noFill/>
                    <a:ln w="9525">
                      <a:noFill/>
                      <a:miter lim="800000"/>
                      <a:headEnd/>
                      <a:tailEnd/>
                    </a:ln>
                  </pic:spPr>
                </pic:pic>
              </a:graphicData>
            </a:graphic>
          </wp:inline>
        </w:drawing>
      </w:r>
    </w:p>
    <w:p w:rsidR="009859AF" w:rsidRPr="004B7ABF" w:rsidRDefault="009859AF"/>
    <w:sectPr w:rsidR="009859AF" w:rsidRPr="004B7A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9AF" w:rsidRDefault="009859AF" w:rsidP="004B7ABF">
      <w:r>
        <w:separator/>
      </w:r>
    </w:p>
  </w:endnote>
  <w:endnote w:type="continuationSeparator" w:id="1">
    <w:p w:rsidR="009859AF" w:rsidRDefault="009859AF" w:rsidP="004B7A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9AF" w:rsidRDefault="009859AF" w:rsidP="004B7ABF">
      <w:r>
        <w:separator/>
      </w:r>
    </w:p>
  </w:footnote>
  <w:footnote w:type="continuationSeparator" w:id="1">
    <w:p w:rsidR="009859AF" w:rsidRDefault="009859AF" w:rsidP="004B7A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7ABF"/>
    <w:rsid w:val="004B7ABF"/>
    <w:rsid w:val="00985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7A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7ABF"/>
    <w:rPr>
      <w:sz w:val="18"/>
      <w:szCs w:val="18"/>
    </w:rPr>
  </w:style>
  <w:style w:type="paragraph" w:styleId="a4">
    <w:name w:val="footer"/>
    <w:basedOn w:val="a"/>
    <w:link w:val="Char0"/>
    <w:uiPriority w:val="99"/>
    <w:semiHidden/>
    <w:unhideWhenUsed/>
    <w:rsid w:val="004B7A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7ABF"/>
    <w:rPr>
      <w:sz w:val="18"/>
      <w:szCs w:val="18"/>
    </w:rPr>
  </w:style>
  <w:style w:type="character" w:styleId="a5">
    <w:name w:val="Strong"/>
    <w:basedOn w:val="a0"/>
    <w:uiPriority w:val="22"/>
    <w:qFormat/>
    <w:rsid w:val="004B7ABF"/>
    <w:rPr>
      <w:b/>
      <w:bCs/>
    </w:rPr>
  </w:style>
  <w:style w:type="paragraph" w:styleId="a6">
    <w:name w:val="Balloon Text"/>
    <w:basedOn w:val="a"/>
    <w:link w:val="Char1"/>
    <w:uiPriority w:val="99"/>
    <w:semiHidden/>
    <w:unhideWhenUsed/>
    <w:rsid w:val="004B7ABF"/>
    <w:rPr>
      <w:sz w:val="18"/>
      <w:szCs w:val="18"/>
    </w:rPr>
  </w:style>
  <w:style w:type="character" w:customStyle="1" w:styleId="Char1">
    <w:name w:val="批注框文本 Char"/>
    <w:basedOn w:val="a0"/>
    <w:link w:val="a6"/>
    <w:uiPriority w:val="99"/>
    <w:semiHidden/>
    <w:rsid w:val="004B7ABF"/>
    <w:rPr>
      <w:sz w:val="18"/>
      <w:szCs w:val="18"/>
    </w:rPr>
  </w:style>
</w:styles>
</file>

<file path=word/webSettings.xml><?xml version="1.0" encoding="utf-8"?>
<w:webSettings xmlns:r="http://schemas.openxmlformats.org/officeDocument/2006/relationships" xmlns:w="http://schemas.openxmlformats.org/wordprocessingml/2006/main">
  <w:divs>
    <w:div w:id="671294178">
      <w:bodyDiv w:val="1"/>
      <w:marLeft w:val="0"/>
      <w:marRight w:val="0"/>
      <w:marTop w:val="0"/>
      <w:marBottom w:val="0"/>
      <w:divBdr>
        <w:top w:val="none" w:sz="0" w:space="0" w:color="auto"/>
        <w:left w:val="none" w:sz="0" w:space="0" w:color="auto"/>
        <w:bottom w:val="none" w:sz="0" w:space="0" w:color="auto"/>
        <w:right w:val="none" w:sz="0" w:space="0" w:color="auto"/>
      </w:divBdr>
      <w:divsChild>
        <w:div w:id="563375733">
          <w:marLeft w:val="0"/>
          <w:marRight w:val="0"/>
          <w:marTop w:val="0"/>
          <w:marBottom w:val="0"/>
          <w:divBdr>
            <w:top w:val="none" w:sz="0" w:space="0" w:color="auto"/>
            <w:left w:val="none" w:sz="0" w:space="0" w:color="auto"/>
            <w:bottom w:val="none" w:sz="0" w:space="0" w:color="auto"/>
            <w:right w:val="none" w:sz="0" w:space="0" w:color="auto"/>
          </w:divBdr>
          <w:divsChild>
            <w:div w:id="17512713">
              <w:marLeft w:val="0"/>
              <w:marRight w:val="0"/>
              <w:marTop w:val="0"/>
              <w:marBottom w:val="0"/>
              <w:divBdr>
                <w:top w:val="none" w:sz="0" w:space="0" w:color="auto"/>
                <w:left w:val="none" w:sz="0" w:space="0" w:color="auto"/>
                <w:bottom w:val="none" w:sz="0" w:space="0" w:color="auto"/>
                <w:right w:val="none" w:sz="0" w:space="0" w:color="auto"/>
              </w:divBdr>
              <w:divsChild>
                <w:div w:id="407654405">
                  <w:marLeft w:val="0"/>
                  <w:marRight w:val="0"/>
                  <w:marTop w:val="0"/>
                  <w:marBottom w:val="0"/>
                  <w:divBdr>
                    <w:top w:val="none" w:sz="0" w:space="0" w:color="auto"/>
                    <w:left w:val="none" w:sz="0" w:space="0" w:color="auto"/>
                    <w:bottom w:val="none" w:sz="0" w:space="0" w:color="auto"/>
                    <w:right w:val="none" w:sz="0" w:space="0" w:color="auto"/>
                  </w:divBdr>
                  <w:divsChild>
                    <w:div w:id="1267956121">
                      <w:marLeft w:val="0"/>
                      <w:marRight w:val="0"/>
                      <w:marTop w:val="0"/>
                      <w:marBottom w:val="0"/>
                      <w:divBdr>
                        <w:top w:val="none" w:sz="0" w:space="0" w:color="auto"/>
                        <w:left w:val="none" w:sz="0" w:space="0" w:color="auto"/>
                        <w:bottom w:val="none" w:sz="0" w:space="0" w:color="auto"/>
                        <w:right w:val="none" w:sz="0" w:space="0" w:color="auto"/>
                      </w:divBdr>
                      <w:divsChild>
                        <w:div w:id="1366565065">
                          <w:marLeft w:val="0"/>
                          <w:marRight w:val="0"/>
                          <w:marTop w:val="0"/>
                          <w:marBottom w:val="0"/>
                          <w:divBdr>
                            <w:top w:val="none" w:sz="0" w:space="0" w:color="auto"/>
                            <w:left w:val="none" w:sz="0" w:space="0" w:color="auto"/>
                            <w:bottom w:val="none" w:sz="0" w:space="0" w:color="auto"/>
                            <w:right w:val="none" w:sz="0" w:space="0" w:color="auto"/>
                          </w:divBdr>
                          <w:divsChild>
                            <w:div w:id="11178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aulight</dc:creator>
  <cp:lastModifiedBy>aulight</cp:lastModifiedBy>
  <cp:revision>2</cp:revision>
  <dcterms:created xsi:type="dcterms:W3CDTF">2017-07-12T02:21:00Z</dcterms:created>
  <dcterms:modified xsi:type="dcterms:W3CDTF">2017-07-12T02:21:00Z</dcterms:modified>
</cp:coreProperties>
</file>