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79" w:rsidRPr="009A6779" w:rsidRDefault="009A6779" w:rsidP="009A6779">
      <w:pPr>
        <w:shd w:val="clear" w:color="auto" w:fill="EFEFEF"/>
        <w:adjustRightInd/>
        <w:snapToGrid/>
        <w:spacing w:after="0"/>
        <w:rPr>
          <w:rFonts w:ascii="microsoft yahei" w:eastAsia="宋体" w:hAnsi="microsoft yahei" w:cs="宋体"/>
          <w:color w:val="000000"/>
          <w:sz w:val="21"/>
          <w:szCs w:val="21"/>
        </w:rPr>
      </w:pPr>
      <w:r w:rsidRPr="009A6779">
        <w:rPr>
          <w:rFonts w:ascii="microsoft yahei" w:eastAsia="宋体" w:hAnsi="microsoft yahei" w:cs="宋体"/>
          <w:color w:val="000000"/>
          <w:sz w:val="21"/>
          <w:szCs w:val="21"/>
        </w:rPr>
        <w:br/>
      </w:r>
    </w:p>
    <w:p w:rsidR="009A6779" w:rsidRPr="009A6779" w:rsidRDefault="009A6779" w:rsidP="009A6779">
      <w:pPr>
        <w:numPr>
          <w:ilvl w:val="0"/>
          <w:numId w:val="1"/>
        </w:numPr>
        <w:shd w:val="clear" w:color="auto" w:fill="EFEFEF"/>
        <w:adjustRightInd/>
        <w:snapToGrid/>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3371850" cy="2647950"/>
            <wp:effectExtent l="19050" t="0" r="0" b="0"/>
            <wp:docPr id="1" name="图片 1" descr="http://test92.cindanet.com/uploadfile/2017/0609/2017060904354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043542893.jpg"/>
                    <pic:cNvPicPr>
                      <a:picLocks noChangeAspect="1" noChangeArrowheads="1"/>
                    </pic:cNvPicPr>
                  </pic:nvPicPr>
                  <pic:blipFill>
                    <a:blip r:embed="rId7" cstate="print"/>
                    <a:srcRect/>
                    <a:stretch>
                      <a:fillRect/>
                    </a:stretch>
                  </pic:blipFill>
                  <pic:spPr bwMode="auto">
                    <a:xfrm>
                      <a:off x="0" y="0"/>
                      <a:ext cx="3371850" cy="2647950"/>
                    </a:xfrm>
                    <a:prstGeom prst="rect">
                      <a:avLst/>
                    </a:prstGeom>
                    <a:noFill/>
                    <a:ln w="9525">
                      <a:noFill/>
                      <a:miter lim="800000"/>
                      <a:headEnd/>
                      <a:tailEnd/>
                    </a:ln>
                  </pic:spPr>
                </pic:pic>
              </a:graphicData>
            </a:graphic>
          </wp:inline>
        </w:drawing>
      </w:r>
    </w:p>
    <w:p w:rsidR="009A6779" w:rsidRPr="009A6779" w:rsidRDefault="009A6779" w:rsidP="009A6779">
      <w:pPr>
        <w:numPr>
          <w:ilvl w:val="0"/>
          <w:numId w:val="2"/>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3371850" cy="2647950"/>
            <wp:effectExtent l="19050" t="0" r="0" b="0"/>
            <wp:docPr id="2" name="图片 2" descr="http://test92.cindanet.com/uploadfile/2017/0609/2017060904354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92.cindanet.com/uploadfile/2017/0609/20170609043542893.jpg"/>
                    <pic:cNvPicPr>
                      <a:picLocks noChangeAspect="1" noChangeArrowheads="1"/>
                    </pic:cNvPicPr>
                  </pic:nvPicPr>
                  <pic:blipFill>
                    <a:blip r:embed="rId7" cstate="print"/>
                    <a:srcRect/>
                    <a:stretch>
                      <a:fillRect/>
                    </a:stretch>
                  </pic:blipFill>
                  <pic:spPr bwMode="auto">
                    <a:xfrm>
                      <a:off x="0" y="0"/>
                      <a:ext cx="3371850" cy="2647950"/>
                    </a:xfrm>
                    <a:prstGeom prst="rect">
                      <a:avLst/>
                    </a:prstGeom>
                    <a:noFill/>
                    <a:ln w="9525">
                      <a:noFill/>
                      <a:miter lim="800000"/>
                      <a:headEnd/>
                      <a:tailEnd/>
                    </a:ln>
                  </pic:spPr>
                </pic:pic>
              </a:graphicData>
            </a:graphic>
          </wp:inline>
        </w:drawing>
      </w:r>
    </w:p>
    <w:p w:rsidR="009A6779" w:rsidRPr="009A6779" w:rsidRDefault="009A6779" w:rsidP="009A6779">
      <w:pPr>
        <w:shd w:val="clear" w:color="auto" w:fill="FFFFFF"/>
        <w:adjustRightInd/>
        <w:snapToGrid/>
        <w:spacing w:after="150" w:line="600" w:lineRule="atLeast"/>
        <w:outlineLvl w:val="2"/>
        <w:rPr>
          <w:rFonts w:ascii="microsoft yahei" w:eastAsia="宋体" w:hAnsi="microsoft yahei" w:cs="宋体"/>
          <w:color w:val="333333"/>
          <w:sz w:val="36"/>
          <w:szCs w:val="36"/>
        </w:rPr>
      </w:pPr>
      <w:r w:rsidRPr="009A6779">
        <w:rPr>
          <w:rFonts w:ascii="microsoft yahei" w:eastAsia="宋体" w:hAnsi="microsoft yahei" w:cs="宋体"/>
          <w:color w:val="333333"/>
          <w:sz w:val="36"/>
          <w:szCs w:val="36"/>
        </w:rPr>
        <w:t>多晶硅和单晶硅标准太阳能电池</w:t>
      </w:r>
    </w:p>
    <w:p w:rsidR="009A6779" w:rsidRPr="009A6779" w:rsidRDefault="009A6779" w:rsidP="009A6779">
      <w:pPr>
        <w:pBdr>
          <w:bottom w:val="dashed" w:sz="6" w:space="8" w:color="9E9E9E"/>
        </w:pBdr>
        <w:shd w:val="clear" w:color="auto" w:fill="FFFFFF"/>
        <w:adjustRightInd/>
        <w:snapToGrid/>
        <w:spacing w:after="150" w:line="450" w:lineRule="atLeast"/>
        <w:rPr>
          <w:rFonts w:ascii="microsoft yahei" w:eastAsia="宋体" w:hAnsi="microsoft yahei" w:cs="宋体"/>
          <w:color w:val="333333"/>
          <w:sz w:val="21"/>
          <w:szCs w:val="21"/>
        </w:rPr>
      </w:pPr>
      <w:r w:rsidRPr="009A6779">
        <w:rPr>
          <w:rFonts w:ascii="microsoft yahei" w:eastAsia="宋体" w:hAnsi="microsoft yahei" w:cs="宋体"/>
          <w:color w:val="333333"/>
          <w:sz w:val="21"/>
          <w:szCs w:val="21"/>
        </w:rPr>
        <w:t>标准太阳电池为</w:t>
      </w:r>
      <w:r w:rsidRPr="009A6779">
        <w:rPr>
          <w:rFonts w:ascii="microsoft yahei" w:eastAsia="宋体" w:hAnsi="microsoft yahei" w:cs="宋体"/>
          <w:color w:val="333333"/>
          <w:sz w:val="21"/>
          <w:szCs w:val="21"/>
        </w:rPr>
        <w:t>2cm*2cm</w:t>
      </w:r>
      <w:r w:rsidRPr="009A6779">
        <w:rPr>
          <w:rFonts w:ascii="microsoft yahei" w:eastAsia="宋体" w:hAnsi="microsoft yahei" w:cs="宋体"/>
          <w:color w:val="333333"/>
          <w:sz w:val="21"/>
          <w:szCs w:val="21"/>
        </w:rPr>
        <w:t>的单晶硅或多晶硅晶硅（可依据用户需要定制）光伏电池，经过老化、筛选，选择稳定性好、表面均匀的进行全密封式封装。</w:t>
      </w:r>
    </w:p>
    <w:p w:rsidR="009A6779" w:rsidRPr="009A6779" w:rsidRDefault="009A6779" w:rsidP="009A6779">
      <w:pPr>
        <w:numPr>
          <w:ilvl w:val="0"/>
          <w:numId w:val="3"/>
        </w:numPr>
        <w:shd w:val="clear" w:color="auto" w:fill="FFFFFF"/>
        <w:adjustRightInd/>
        <w:snapToGrid/>
        <w:spacing w:after="0" w:line="450" w:lineRule="atLeast"/>
        <w:ind w:left="0"/>
        <w:rPr>
          <w:rFonts w:ascii="microsoft yahei" w:eastAsia="宋体" w:hAnsi="microsoft yahei" w:cs="宋体"/>
          <w:color w:val="333333"/>
          <w:sz w:val="21"/>
          <w:szCs w:val="21"/>
        </w:rPr>
      </w:pPr>
      <w:r w:rsidRPr="009A6779">
        <w:rPr>
          <w:rFonts w:ascii="microsoft yahei" w:eastAsia="宋体" w:hAnsi="microsoft yahei" w:cs="宋体"/>
          <w:color w:val="333333"/>
          <w:sz w:val="21"/>
          <w:szCs w:val="21"/>
        </w:rPr>
        <w:t>型　　号：</w:t>
      </w:r>
    </w:p>
    <w:p w:rsidR="009A6779" w:rsidRPr="009A6779" w:rsidRDefault="009A6779" w:rsidP="009A6779">
      <w:pPr>
        <w:numPr>
          <w:ilvl w:val="0"/>
          <w:numId w:val="3"/>
        </w:numPr>
        <w:shd w:val="clear" w:color="auto" w:fill="FFFFFF"/>
        <w:adjustRightInd/>
        <w:snapToGrid/>
        <w:spacing w:after="0" w:line="450" w:lineRule="atLeast"/>
        <w:ind w:left="0"/>
        <w:rPr>
          <w:rFonts w:ascii="microsoft yahei" w:eastAsia="宋体" w:hAnsi="microsoft yahei" w:cs="宋体"/>
          <w:color w:val="333333"/>
          <w:sz w:val="21"/>
          <w:szCs w:val="21"/>
        </w:rPr>
      </w:pPr>
      <w:r w:rsidRPr="009A6779">
        <w:rPr>
          <w:rFonts w:ascii="microsoft yahei" w:eastAsia="宋体" w:hAnsi="microsoft yahei" w:cs="宋体"/>
          <w:color w:val="333333"/>
          <w:sz w:val="21"/>
          <w:szCs w:val="21"/>
        </w:rPr>
        <w:t>产　　地：</w:t>
      </w:r>
    </w:p>
    <w:p w:rsidR="009A6779" w:rsidRPr="009A6779" w:rsidRDefault="009A6779" w:rsidP="009A6779">
      <w:pPr>
        <w:shd w:val="clear" w:color="auto" w:fill="FFFFFF"/>
        <w:adjustRightInd/>
        <w:snapToGrid/>
        <w:spacing w:line="450" w:lineRule="atLeast"/>
        <w:rPr>
          <w:rFonts w:ascii="microsoft yahei" w:eastAsia="宋体" w:hAnsi="microsoft yahei" w:cs="宋体"/>
          <w:color w:val="333333"/>
          <w:sz w:val="21"/>
          <w:szCs w:val="21"/>
        </w:rPr>
      </w:pPr>
      <w:hyperlink r:id="rId8" w:history="1">
        <w:r w:rsidRPr="009A6779">
          <w:rPr>
            <w:rFonts w:ascii="microsoft yahei" w:eastAsia="宋体" w:hAnsi="microsoft yahei" w:cs="宋体"/>
            <w:b/>
            <w:bCs/>
            <w:color w:val="FFFFFF"/>
            <w:sz w:val="27"/>
            <w:u w:val="single"/>
          </w:rPr>
          <w:t>点击咨询</w:t>
        </w:r>
      </w:hyperlink>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t>优势特点</w:t>
      </w:r>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lastRenderedPageBreak/>
        <w:t>产品应用</w:t>
      </w:r>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t>详细介绍</w:t>
      </w:r>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t>规格参数</w:t>
      </w:r>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t>案例文章</w:t>
      </w:r>
    </w:p>
    <w:p w:rsidR="009A6779" w:rsidRPr="009A6779" w:rsidRDefault="009A6779" w:rsidP="009A6779">
      <w:pPr>
        <w:numPr>
          <w:ilvl w:val="0"/>
          <w:numId w:val="4"/>
        </w:numPr>
        <w:shd w:val="clear" w:color="auto" w:fill="FFFFFF"/>
        <w:adjustRightInd/>
        <w:snapToGrid/>
        <w:spacing w:after="0" w:line="600" w:lineRule="atLeast"/>
        <w:ind w:left="0"/>
        <w:jc w:val="center"/>
        <w:rPr>
          <w:rFonts w:ascii="microsoft yahei" w:eastAsia="宋体" w:hAnsi="microsoft yahei" w:cs="宋体"/>
          <w:color w:val="818181"/>
          <w:sz w:val="24"/>
          <w:szCs w:val="24"/>
        </w:rPr>
      </w:pPr>
      <w:r w:rsidRPr="009A6779">
        <w:rPr>
          <w:rFonts w:ascii="microsoft yahei" w:eastAsia="宋体" w:hAnsi="microsoft yahei" w:cs="宋体"/>
          <w:color w:val="818181"/>
          <w:sz w:val="24"/>
          <w:szCs w:val="24"/>
        </w:rPr>
        <w:t>相关产品</w:t>
      </w:r>
    </w:p>
    <w:p w:rsidR="009A6779" w:rsidRPr="009A6779" w:rsidRDefault="009A6779" w:rsidP="009A6779">
      <w:pPr>
        <w:shd w:val="clear" w:color="auto" w:fill="FFFFFF"/>
        <w:adjustRightInd/>
        <w:snapToGrid/>
        <w:spacing w:after="0"/>
        <w:rPr>
          <w:rFonts w:ascii="microsoft yahei" w:eastAsia="宋体" w:hAnsi="microsoft yahei" w:cs="宋体"/>
          <w:color w:val="000000"/>
          <w:sz w:val="21"/>
          <w:szCs w:val="21"/>
        </w:rPr>
      </w:pPr>
      <w:bookmarkStart w:id="0" w:name="one"/>
      <w:bookmarkStart w:id="1" w:name="two"/>
      <w:bookmarkStart w:id="2" w:name="three"/>
      <w:bookmarkEnd w:id="0"/>
      <w:bookmarkEnd w:id="1"/>
      <w:bookmarkEnd w:id="2"/>
      <w:r w:rsidRPr="009A6779">
        <w:rPr>
          <w:rFonts w:ascii="微软雅黑" w:hAnsi="微软雅黑" w:cs="宋体" w:hint="eastAsia"/>
          <w:b/>
          <w:bCs/>
          <w:color w:val="000000"/>
          <w:sz w:val="21"/>
        </w:rPr>
        <w:t>详细介绍</w:t>
      </w:r>
      <w:r w:rsidRPr="009A6779">
        <w:rPr>
          <w:rFonts w:ascii="微软雅黑" w:hAnsi="微软雅黑" w:cs="宋体" w:hint="eastAsia"/>
          <w:color w:val="000000"/>
          <w:sz w:val="21"/>
          <w:szCs w:val="21"/>
        </w:rPr>
        <w:br/>
      </w:r>
      <w:r w:rsidRPr="009A6779">
        <w:rPr>
          <w:rFonts w:ascii="微软雅黑" w:hAnsi="微软雅黑" w:cs="宋体" w:hint="eastAsia"/>
          <w:b/>
          <w:bCs/>
          <w:color w:val="000000"/>
          <w:sz w:val="21"/>
          <w:szCs w:val="21"/>
        </w:rPr>
        <w:t>标准太阳电池为2cm*2cm的单晶硅</w:t>
      </w:r>
      <w:r w:rsidRPr="009A6779">
        <w:rPr>
          <w:rFonts w:ascii="微软雅黑" w:hAnsi="微软雅黑" w:cs="宋体" w:hint="eastAsia"/>
          <w:color w:val="000000"/>
          <w:sz w:val="21"/>
          <w:szCs w:val="21"/>
        </w:rPr>
        <w:t>或多晶硅晶硅（可依据用户需要定制）光伏电</w:t>
      </w:r>
      <w:r w:rsidRPr="009A6779">
        <w:rPr>
          <w:rFonts w:ascii="微软雅黑" w:hAnsi="微软雅黑" w:cs="宋体" w:hint="eastAsia"/>
          <w:color w:val="000000"/>
          <w:sz w:val="21"/>
          <w:szCs w:val="21"/>
        </w:rPr>
        <w:br/>
        <w:t>池，经过老化、筛选，选择稳定性好、表面均匀的进行全密封式封装。太阳电池</w:t>
      </w:r>
      <w:r w:rsidRPr="009A6779">
        <w:rPr>
          <w:rFonts w:ascii="微软雅黑" w:hAnsi="微软雅黑" w:cs="宋体" w:hint="eastAsia"/>
          <w:color w:val="000000"/>
          <w:sz w:val="21"/>
          <w:szCs w:val="21"/>
        </w:rPr>
        <w:br/>
        <w:t>置于方形铝基座的中心，并配有一个抗辐照玻璃保护窗口，窗口的封装采用透明</w:t>
      </w:r>
      <w:r w:rsidRPr="009A6779">
        <w:rPr>
          <w:rFonts w:ascii="微软雅黑" w:hAnsi="微软雅黑" w:cs="宋体" w:hint="eastAsia"/>
          <w:color w:val="000000"/>
          <w:sz w:val="21"/>
          <w:szCs w:val="21"/>
        </w:rPr>
        <w:br/>
        <w:t>性好，折射系数相近的光敏胶。太阳电池的下面装有Pt100铂电阻温度传感器，</w:t>
      </w:r>
      <w:r w:rsidRPr="009A6779">
        <w:rPr>
          <w:rFonts w:ascii="微软雅黑" w:hAnsi="微软雅黑" w:cs="宋体" w:hint="eastAsia"/>
          <w:color w:val="000000"/>
          <w:sz w:val="21"/>
          <w:szCs w:val="21"/>
        </w:rPr>
        <w:br/>
        <w:t>在封装前已进行标定。太阳电池和测温传感器均采用四端输出的Kelvin连接接</w:t>
      </w:r>
      <w:r w:rsidRPr="009A6779">
        <w:rPr>
          <w:rFonts w:ascii="微软雅黑" w:hAnsi="微软雅黑" w:cs="宋体" w:hint="eastAsia"/>
          <w:color w:val="000000"/>
          <w:sz w:val="21"/>
          <w:szCs w:val="21"/>
        </w:rPr>
        <w:br/>
        <w:t>线方式。</w:t>
      </w:r>
      <w:r w:rsidRPr="009A6779">
        <w:rPr>
          <w:rFonts w:ascii="微软雅黑" w:hAnsi="微软雅黑" w:cs="宋体" w:hint="eastAsia"/>
          <w:color w:val="000000"/>
          <w:sz w:val="21"/>
          <w:szCs w:val="21"/>
        </w:rPr>
        <w:br/>
      </w:r>
      <w:r w:rsidRPr="009A6779">
        <w:rPr>
          <w:rFonts w:ascii="微软雅黑" w:hAnsi="微软雅黑" w:cs="宋体" w:hint="eastAsia"/>
          <w:b/>
          <w:bCs/>
          <w:color w:val="000000"/>
          <w:sz w:val="21"/>
        </w:rPr>
        <w:t>型号：</w:t>
      </w:r>
      <w:r w:rsidRPr="009A6779">
        <w:rPr>
          <w:rFonts w:ascii="微软雅黑" w:hAnsi="微软雅黑" w:cs="宋体" w:hint="eastAsia"/>
          <w:color w:val="000000"/>
          <w:sz w:val="21"/>
          <w:szCs w:val="21"/>
        </w:rPr>
        <w:br/>
        <w:t>1）CEL-RCCN单晶硅标准太阳能电池</w:t>
      </w:r>
      <w:r w:rsidRPr="009A6779">
        <w:rPr>
          <w:rFonts w:ascii="微软雅黑" w:hAnsi="微软雅黑" w:cs="宋体" w:hint="eastAsia"/>
          <w:color w:val="000000"/>
          <w:sz w:val="21"/>
          <w:szCs w:val="21"/>
        </w:rPr>
        <w:br/>
        <w:t>2）CEL-RCCO多晶硅标准太阳能电池</w:t>
      </w:r>
      <w:r w:rsidRPr="009A6779">
        <w:rPr>
          <w:rFonts w:ascii="微软雅黑" w:hAnsi="微软雅黑" w:cs="宋体" w:hint="eastAsia"/>
          <w:color w:val="000000"/>
          <w:sz w:val="21"/>
          <w:szCs w:val="21"/>
        </w:rPr>
        <w:br/>
        <w:t>标准太阳电池通常用于日常校准或测试光源（氙灯、太阳模拟器等）在被测</w:t>
      </w:r>
      <w:r w:rsidRPr="009A6779">
        <w:rPr>
          <w:rFonts w:ascii="微软雅黑" w:hAnsi="微软雅黑" w:cs="宋体" w:hint="eastAsia"/>
          <w:color w:val="000000"/>
          <w:sz w:val="21"/>
          <w:szCs w:val="21"/>
        </w:rPr>
        <w:br/>
        <w:t>太阳电池表面所建立的总辐照度（W/m</w:t>
      </w:r>
      <w:r w:rsidRPr="009A6779">
        <w:rPr>
          <w:rFonts w:ascii="微软雅黑" w:hAnsi="微软雅黑" w:cs="宋体" w:hint="eastAsia"/>
          <w:color w:val="000000"/>
          <w:sz w:val="21"/>
          <w:szCs w:val="21"/>
          <w:vertAlign w:val="superscript"/>
        </w:rPr>
        <w:t>2</w:t>
      </w:r>
      <w:r w:rsidRPr="009A6779">
        <w:rPr>
          <w:rFonts w:ascii="微软雅黑" w:hAnsi="微软雅黑" w:cs="宋体" w:hint="eastAsia"/>
          <w:color w:val="000000"/>
          <w:sz w:val="21"/>
          <w:szCs w:val="21"/>
        </w:rPr>
        <w:t>）。太阳模拟器的辐照度发生变化时，照</w:t>
      </w:r>
      <w:r w:rsidRPr="009A6779">
        <w:rPr>
          <w:rFonts w:ascii="微软雅黑" w:hAnsi="微软雅黑" w:cs="宋体" w:hint="eastAsia"/>
          <w:color w:val="000000"/>
          <w:sz w:val="21"/>
          <w:szCs w:val="21"/>
        </w:rPr>
        <w:br/>
        <w:t>射在太阳电池上产生的短路电流与太阳模拟器的辐照度之比接近常数，因此可以</w:t>
      </w:r>
      <w:r w:rsidRPr="009A6779">
        <w:rPr>
          <w:rFonts w:ascii="微软雅黑" w:hAnsi="微软雅黑" w:cs="宋体" w:hint="eastAsia"/>
          <w:color w:val="000000"/>
          <w:sz w:val="21"/>
          <w:szCs w:val="21"/>
        </w:rPr>
        <w:br/>
        <w:t>通过测量短路电流的大小来获得太阳的辐照度。太阳电池的标定值定义为：在标</w:t>
      </w:r>
      <w:r w:rsidRPr="009A6779">
        <w:rPr>
          <w:rFonts w:ascii="微软雅黑" w:hAnsi="微软雅黑" w:cs="宋体" w:hint="eastAsia"/>
          <w:color w:val="000000"/>
          <w:sz w:val="21"/>
          <w:szCs w:val="21"/>
        </w:rPr>
        <w:br/>
        <w:t>准测试条件下，标准太阳电池的短路输出电流与辐照度之比，单位A/(W/m2)，</w:t>
      </w:r>
      <w:r w:rsidRPr="009A6779">
        <w:rPr>
          <w:rFonts w:ascii="微软雅黑" w:hAnsi="微软雅黑" w:cs="宋体" w:hint="eastAsia"/>
          <w:color w:val="000000"/>
          <w:sz w:val="21"/>
          <w:szCs w:val="21"/>
        </w:rPr>
        <w:br/>
      </w:r>
      <w:r w:rsidRPr="009A6779">
        <w:rPr>
          <w:rFonts w:ascii="微软雅黑" w:hAnsi="微软雅黑" w:cs="宋体" w:hint="eastAsia"/>
          <w:color w:val="000000"/>
          <w:sz w:val="21"/>
          <w:szCs w:val="21"/>
        </w:rPr>
        <w:lastRenderedPageBreak/>
        <w:t>称为CV值。当太阳电池的短路电流等于其标定值时，即可认为太阳模拟器的辐</w:t>
      </w:r>
      <w:r w:rsidRPr="009A6779">
        <w:rPr>
          <w:rFonts w:ascii="微软雅黑" w:hAnsi="微软雅黑" w:cs="宋体" w:hint="eastAsia"/>
          <w:color w:val="000000"/>
          <w:sz w:val="21"/>
          <w:szCs w:val="21"/>
        </w:rPr>
        <w:br/>
        <w:t>照度达到一个太阳常数，即1000W/m2。</w:t>
      </w:r>
    </w:p>
    <w:p w:rsidR="009A6779" w:rsidRPr="009A6779" w:rsidRDefault="009A6779" w:rsidP="009A6779">
      <w:pPr>
        <w:shd w:val="clear" w:color="auto" w:fill="FFFFFF"/>
        <w:adjustRightInd/>
        <w:snapToGrid/>
        <w:spacing w:after="0"/>
        <w:rPr>
          <w:rFonts w:ascii="microsoft yahei" w:eastAsia="宋体" w:hAnsi="microsoft yahei" w:cs="宋体"/>
          <w:color w:val="000000"/>
          <w:sz w:val="21"/>
          <w:szCs w:val="21"/>
        </w:rPr>
      </w:pPr>
      <w:bookmarkStart w:id="3" w:name="four"/>
      <w:bookmarkEnd w:id="3"/>
      <w:r w:rsidRPr="009A6779">
        <w:rPr>
          <w:rFonts w:ascii="微软雅黑" w:hAnsi="微软雅黑" w:cs="宋体" w:hint="eastAsia"/>
          <w:b/>
          <w:bCs/>
          <w:color w:val="000000"/>
          <w:sz w:val="21"/>
        </w:rPr>
        <w:t>规格参数</w:t>
      </w:r>
    </w:p>
    <w:tbl>
      <w:tblPr>
        <w:tblW w:w="46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0"/>
        <w:gridCol w:w="2459"/>
        <w:gridCol w:w="1580"/>
        <w:gridCol w:w="1797"/>
      </w:tblGrid>
      <w:tr w:rsidR="009A6779" w:rsidRPr="009A6779" w:rsidTr="009A6779">
        <w:tc>
          <w:tcPr>
            <w:tcW w:w="502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b/>
                <w:bCs/>
                <w:sz w:val="21"/>
              </w:rPr>
              <w:t>尺寸和外观</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b/>
                <w:bCs/>
                <w:sz w:val="21"/>
              </w:rPr>
              <w:t>测试条件</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光伏材料</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单晶硅/多晶硅</w:t>
            </w:r>
          </w:p>
        </w:tc>
        <w:tc>
          <w:tcPr>
            <w:tcW w:w="207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光谱</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AM1.5</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光伏器件尺寸</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20mm x 20mm</w:t>
            </w:r>
          </w:p>
        </w:tc>
        <w:tc>
          <w:tcPr>
            <w:tcW w:w="207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标定温度</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25ºC</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窗口材料</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空间抗辐照盖片</w:t>
            </w:r>
          </w:p>
        </w:tc>
        <w:tc>
          <w:tcPr>
            <w:tcW w:w="207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标定辐照度</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1000 W/m</w:t>
            </w:r>
            <w:r w:rsidRPr="009A6779">
              <w:rPr>
                <w:rFonts w:ascii="微软雅黑" w:hAnsi="微软雅黑" w:cs="宋体" w:hint="eastAsia"/>
                <w:sz w:val="21"/>
                <w:szCs w:val="21"/>
                <w:vertAlign w:val="superscript"/>
              </w:rPr>
              <w:t>2</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外围材料</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空间抗辐照盖片</w:t>
            </w:r>
          </w:p>
        </w:tc>
        <w:tc>
          <w:tcPr>
            <w:tcW w:w="207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波长范围</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400-1100nm</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外围材料</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70mm x 70mm x 20 mm</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b/>
                <w:bCs/>
                <w:sz w:val="21"/>
              </w:rPr>
              <w:t>测试参数</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温度传感器</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100 Ω Pt电阻</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标定值CV (A/W/m2 )</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电流电压连接器</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LEMO插头</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短路电流Isc ( mA)</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温度连接器</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LEMO插头</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开路电压Voc ( mV)</w:t>
            </w:r>
          </w:p>
        </w:tc>
      </w:tr>
      <w:tr w:rsidR="009A6779" w:rsidRPr="009A6779" w:rsidTr="009A6779">
        <w:tc>
          <w:tcPr>
            <w:tcW w:w="502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b/>
                <w:bCs/>
                <w:sz w:val="21"/>
              </w:rPr>
              <w:t>电性能</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短路电流的温度系数α(mA•ºC-1)</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标定辐照度</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1000 W/m</w:t>
            </w:r>
            <w:r w:rsidRPr="009A6779">
              <w:rPr>
                <w:rFonts w:ascii="微软雅黑" w:hAnsi="微软雅黑" w:cs="宋体" w:hint="eastAsia"/>
                <w:sz w:val="21"/>
                <w:szCs w:val="21"/>
                <w:vertAlign w:val="superscript"/>
              </w:rPr>
              <w:t>2</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开路电压的温度系数β(mV•ºC-1)</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操作电流</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不超过200 mA</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电流最大值Imax ( mA)</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操作温度</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10ºC - 40ºC</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电压最大值Vmax ( mV)</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转换效率</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大于16%</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功率最大值Pmax ( mW)</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填充因子</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大于0.7</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填充因子FF</w:t>
            </w:r>
          </w:p>
        </w:tc>
      </w:tr>
      <w:tr w:rsidR="009A6779" w:rsidRPr="009A6779" w:rsidTr="009A6779">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短路电流</w:t>
            </w:r>
          </w:p>
        </w:tc>
        <w:tc>
          <w:tcPr>
            <w:tcW w:w="2400" w:type="dxa"/>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微软雅黑" w:hAnsi="微软雅黑" w:cs="宋体" w:hint="eastAsia"/>
                <w:sz w:val="21"/>
                <w:szCs w:val="21"/>
              </w:rPr>
              <w:t>变化不超过±0.5%</w:t>
            </w:r>
          </w:p>
        </w:tc>
        <w:tc>
          <w:tcPr>
            <w:tcW w:w="4215" w:type="dxa"/>
            <w:gridSpan w:val="2"/>
            <w:tcBorders>
              <w:top w:val="outset" w:sz="6" w:space="0" w:color="auto"/>
              <w:left w:val="outset" w:sz="6" w:space="0" w:color="auto"/>
              <w:bottom w:val="outset" w:sz="6" w:space="0" w:color="auto"/>
              <w:right w:val="outset" w:sz="6" w:space="0" w:color="auto"/>
            </w:tcBorders>
            <w:vAlign w:val="center"/>
            <w:hideMark/>
          </w:tcPr>
          <w:p w:rsidR="009A6779" w:rsidRPr="009A6779" w:rsidRDefault="009A6779" w:rsidP="009A6779">
            <w:pPr>
              <w:adjustRightInd/>
              <w:snapToGrid/>
              <w:spacing w:after="0"/>
              <w:rPr>
                <w:rFonts w:ascii="宋体" w:eastAsia="宋体" w:hAnsi="宋体" w:cs="宋体"/>
                <w:sz w:val="24"/>
                <w:szCs w:val="24"/>
              </w:rPr>
            </w:pPr>
            <w:r w:rsidRPr="009A6779">
              <w:rPr>
                <w:rFonts w:ascii="宋体" w:eastAsia="宋体" w:hAnsi="宋体" w:cs="宋体"/>
                <w:sz w:val="24"/>
                <w:szCs w:val="24"/>
              </w:rPr>
              <w:t> </w:t>
            </w:r>
          </w:p>
        </w:tc>
      </w:tr>
    </w:tbl>
    <w:p w:rsidR="009A6779" w:rsidRPr="009A6779" w:rsidRDefault="009A6779" w:rsidP="009A6779">
      <w:pPr>
        <w:shd w:val="clear" w:color="auto" w:fill="FFFFFF"/>
        <w:adjustRightInd/>
        <w:snapToGrid/>
        <w:spacing w:after="0"/>
        <w:rPr>
          <w:rFonts w:ascii="microsoft yahei" w:eastAsia="宋体" w:hAnsi="microsoft yahei" w:cs="宋体"/>
          <w:color w:val="000000"/>
          <w:sz w:val="21"/>
          <w:szCs w:val="21"/>
        </w:rPr>
      </w:pPr>
      <w:r w:rsidRPr="009A6779">
        <w:rPr>
          <w:rFonts w:ascii="microsoft yahei" w:eastAsia="宋体" w:hAnsi="microsoft yahei" w:cs="宋体"/>
          <w:color w:val="000000"/>
          <w:sz w:val="21"/>
          <w:szCs w:val="21"/>
        </w:rPr>
        <w:br/>
      </w:r>
      <w:r w:rsidRPr="009A6779">
        <w:rPr>
          <w:rFonts w:ascii="微软雅黑" w:hAnsi="微软雅黑" w:cs="宋体" w:hint="eastAsia"/>
          <w:color w:val="000000"/>
          <w:sz w:val="21"/>
          <w:szCs w:val="21"/>
        </w:rPr>
        <w:t> </w:t>
      </w:r>
      <w:r w:rsidRPr="009A6779">
        <w:rPr>
          <w:rFonts w:ascii="微软雅黑" w:hAnsi="微软雅黑" w:cs="宋体" w:hint="eastAsia"/>
          <w:b/>
          <w:bCs/>
          <w:color w:val="000000"/>
          <w:sz w:val="21"/>
        </w:rPr>
        <w:t>测试证书</w:t>
      </w:r>
      <w:r w:rsidRPr="009A6779">
        <w:rPr>
          <w:rFonts w:ascii="微软雅黑" w:hAnsi="微软雅黑" w:cs="宋体" w:hint="eastAsia"/>
          <w:color w:val="000000"/>
          <w:sz w:val="21"/>
          <w:szCs w:val="21"/>
        </w:rPr>
        <w:br/>
        <w:t>每个电池会有一份测试证书和独立的数据记录。证书记录了测量值及其不确定度，标准电池溯源的基础及各种参数数据，可以作为与ISO相符合的质量证书</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D7" w:rsidRDefault="001B65D7" w:rsidP="009A6779">
      <w:pPr>
        <w:spacing w:after="0"/>
      </w:pPr>
      <w:r>
        <w:separator/>
      </w:r>
    </w:p>
  </w:endnote>
  <w:endnote w:type="continuationSeparator" w:id="0">
    <w:p w:rsidR="001B65D7" w:rsidRDefault="001B65D7" w:rsidP="009A67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D7" w:rsidRDefault="001B65D7" w:rsidP="009A6779">
      <w:pPr>
        <w:spacing w:after="0"/>
      </w:pPr>
      <w:r>
        <w:separator/>
      </w:r>
    </w:p>
  </w:footnote>
  <w:footnote w:type="continuationSeparator" w:id="0">
    <w:p w:rsidR="001B65D7" w:rsidRDefault="001B65D7" w:rsidP="009A67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545"/>
    <w:multiLevelType w:val="multilevel"/>
    <w:tmpl w:val="A3A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C122D"/>
    <w:multiLevelType w:val="multilevel"/>
    <w:tmpl w:val="EEA0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C154B"/>
    <w:multiLevelType w:val="multilevel"/>
    <w:tmpl w:val="FF66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67798"/>
    <w:multiLevelType w:val="multilevel"/>
    <w:tmpl w:val="C91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B65D7"/>
    <w:rsid w:val="00323B43"/>
    <w:rsid w:val="003D37D8"/>
    <w:rsid w:val="00426133"/>
    <w:rsid w:val="004358AB"/>
    <w:rsid w:val="00485BA3"/>
    <w:rsid w:val="008B7726"/>
    <w:rsid w:val="009A677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9A6779"/>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7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A6779"/>
    <w:rPr>
      <w:rFonts w:ascii="Tahoma" w:hAnsi="Tahoma"/>
      <w:sz w:val="18"/>
      <w:szCs w:val="18"/>
    </w:rPr>
  </w:style>
  <w:style w:type="paragraph" w:styleId="a4">
    <w:name w:val="footer"/>
    <w:basedOn w:val="a"/>
    <w:link w:val="Char0"/>
    <w:uiPriority w:val="99"/>
    <w:semiHidden/>
    <w:unhideWhenUsed/>
    <w:rsid w:val="009A6779"/>
    <w:pPr>
      <w:tabs>
        <w:tab w:val="center" w:pos="4153"/>
        <w:tab w:val="right" w:pos="8306"/>
      </w:tabs>
    </w:pPr>
    <w:rPr>
      <w:sz w:val="18"/>
      <w:szCs w:val="18"/>
    </w:rPr>
  </w:style>
  <w:style w:type="character" w:customStyle="1" w:styleId="Char0">
    <w:name w:val="页脚 Char"/>
    <w:basedOn w:val="a0"/>
    <w:link w:val="a4"/>
    <w:uiPriority w:val="99"/>
    <w:semiHidden/>
    <w:rsid w:val="009A6779"/>
    <w:rPr>
      <w:rFonts w:ascii="Tahoma" w:hAnsi="Tahoma"/>
      <w:sz w:val="18"/>
      <w:szCs w:val="18"/>
    </w:rPr>
  </w:style>
  <w:style w:type="character" w:customStyle="1" w:styleId="3Char">
    <w:name w:val="标题 3 Char"/>
    <w:basedOn w:val="a0"/>
    <w:link w:val="3"/>
    <w:uiPriority w:val="9"/>
    <w:rsid w:val="009A6779"/>
    <w:rPr>
      <w:rFonts w:ascii="宋体" w:eastAsia="宋体" w:hAnsi="宋体" w:cs="宋体"/>
      <w:b/>
      <w:bCs/>
      <w:sz w:val="27"/>
      <w:szCs w:val="27"/>
    </w:rPr>
  </w:style>
  <w:style w:type="paragraph" w:customStyle="1" w:styleId="bbb-9e9e9e">
    <w:name w:val="bbb-9e9e9e"/>
    <w:basedOn w:val="a"/>
    <w:rsid w:val="009A6779"/>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semiHidden/>
    <w:unhideWhenUsed/>
    <w:rsid w:val="009A6779"/>
    <w:rPr>
      <w:color w:val="0000FF"/>
      <w:u w:val="single"/>
    </w:rPr>
  </w:style>
  <w:style w:type="character" w:styleId="a6">
    <w:name w:val="Strong"/>
    <w:basedOn w:val="a0"/>
    <w:uiPriority w:val="22"/>
    <w:qFormat/>
    <w:rsid w:val="009A6779"/>
    <w:rPr>
      <w:b/>
      <w:bCs/>
    </w:rPr>
  </w:style>
  <w:style w:type="paragraph" w:styleId="a7">
    <w:name w:val="Balloon Text"/>
    <w:basedOn w:val="a"/>
    <w:link w:val="Char1"/>
    <w:uiPriority w:val="99"/>
    <w:semiHidden/>
    <w:unhideWhenUsed/>
    <w:rsid w:val="009A6779"/>
    <w:pPr>
      <w:spacing w:after="0"/>
    </w:pPr>
    <w:rPr>
      <w:sz w:val="18"/>
      <w:szCs w:val="18"/>
    </w:rPr>
  </w:style>
  <w:style w:type="character" w:customStyle="1" w:styleId="Char1">
    <w:name w:val="批注框文本 Char"/>
    <w:basedOn w:val="a0"/>
    <w:link w:val="a7"/>
    <w:uiPriority w:val="99"/>
    <w:semiHidden/>
    <w:rsid w:val="009A677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01348343">
      <w:bodyDiv w:val="1"/>
      <w:marLeft w:val="0"/>
      <w:marRight w:val="0"/>
      <w:marTop w:val="0"/>
      <w:marBottom w:val="0"/>
      <w:divBdr>
        <w:top w:val="none" w:sz="0" w:space="0" w:color="auto"/>
        <w:left w:val="none" w:sz="0" w:space="0" w:color="auto"/>
        <w:bottom w:val="none" w:sz="0" w:space="0" w:color="auto"/>
        <w:right w:val="none" w:sz="0" w:space="0" w:color="auto"/>
      </w:divBdr>
      <w:divsChild>
        <w:div w:id="330108428">
          <w:marLeft w:val="0"/>
          <w:marRight w:val="0"/>
          <w:marTop w:val="0"/>
          <w:marBottom w:val="525"/>
          <w:divBdr>
            <w:top w:val="none" w:sz="0" w:space="0" w:color="auto"/>
            <w:left w:val="none" w:sz="0" w:space="0" w:color="auto"/>
            <w:bottom w:val="none" w:sz="0" w:space="0" w:color="auto"/>
            <w:right w:val="none" w:sz="0" w:space="0" w:color="auto"/>
          </w:divBdr>
          <w:divsChild>
            <w:div w:id="163783577">
              <w:marLeft w:val="0"/>
              <w:marRight w:val="0"/>
              <w:marTop w:val="0"/>
              <w:marBottom w:val="0"/>
              <w:divBdr>
                <w:top w:val="none" w:sz="0" w:space="0" w:color="auto"/>
                <w:left w:val="none" w:sz="0" w:space="0" w:color="auto"/>
                <w:bottom w:val="none" w:sz="0" w:space="0" w:color="auto"/>
                <w:right w:val="none" w:sz="0" w:space="0" w:color="auto"/>
              </w:divBdr>
              <w:divsChild>
                <w:div w:id="1352335577">
                  <w:marLeft w:val="0"/>
                  <w:marRight w:val="0"/>
                  <w:marTop w:val="0"/>
                  <w:marBottom w:val="0"/>
                  <w:divBdr>
                    <w:top w:val="none" w:sz="0" w:space="0" w:color="auto"/>
                    <w:left w:val="none" w:sz="0" w:space="0" w:color="auto"/>
                    <w:bottom w:val="none" w:sz="0" w:space="0" w:color="auto"/>
                    <w:right w:val="none" w:sz="0" w:space="0" w:color="auto"/>
                  </w:divBdr>
                  <w:divsChild>
                    <w:div w:id="1867712469">
                      <w:marLeft w:val="0"/>
                      <w:marRight w:val="0"/>
                      <w:marTop w:val="0"/>
                      <w:marBottom w:val="225"/>
                      <w:divBdr>
                        <w:top w:val="single" w:sz="6" w:space="0" w:color="F3F3F3"/>
                        <w:left w:val="single" w:sz="6" w:space="0" w:color="F3F3F3"/>
                        <w:bottom w:val="single" w:sz="6" w:space="0" w:color="F3F3F3"/>
                        <w:right w:val="single" w:sz="6" w:space="0" w:color="F3F3F3"/>
                      </w:divBdr>
                    </w:div>
                    <w:div w:id="1110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718">
              <w:marLeft w:val="0"/>
              <w:marRight w:val="0"/>
              <w:marTop w:val="0"/>
              <w:marBottom w:val="0"/>
              <w:divBdr>
                <w:top w:val="none" w:sz="0" w:space="0" w:color="auto"/>
                <w:left w:val="none" w:sz="0" w:space="0" w:color="auto"/>
                <w:bottom w:val="none" w:sz="0" w:space="0" w:color="auto"/>
                <w:right w:val="none" w:sz="0" w:space="0" w:color="auto"/>
              </w:divBdr>
              <w:divsChild>
                <w:div w:id="588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7785">
          <w:marLeft w:val="0"/>
          <w:marRight w:val="0"/>
          <w:marTop w:val="0"/>
          <w:marBottom w:val="0"/>
          <w:divBdr>
            <w:top w:val="none" w:sz="0" w:space="0" w:color="auto"/>
            <w:left w:val="none" w:sz="0" w:space="0" w:color="auto"/>
            <w:bottom w:val="none" w:sz="0" w:space="0" w:color="auto"/>
            <w:right w:val="none" w:sz="0" w:space="0" w:color="auto"/>
          </w:divBdr>
          <w:divsChild>
            <w:div w:id="313335757">
              <w:marLeft w:val="0"/>
              <w:marRight w:val="0"/>
              <w:marTop w:val="0"/>
              <w:marBottom w:val="0"/>
              <w:divBdr>
                <w:top w:val="single" w:sz="6" w:space="0" w:color="DCDCDC"/>
                <w:left w:val="single" w:sz="6" w:space="0" w:color="DCDCDC"/>
                <w:bottom w:val="single" w:sz="6" w:space="0" w:color="DCDCDC"/>
                <w:right w:val="single" w:sz="6" w:space="0" w:color="DCDCDC"/>
              </w:divBdr>
            </w:div>
            <w:div w:id="9276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2</cp:revision>
  <dcterms:created xsi:type="dcterms:W3CDTF">2008-09-11T17:20:00Z</dcterms:created>
  <dcterms:modified xsi:type="dcterms:W3CDTF">2017-07-11T07:57:00Z</dcterms:modified>
</cp:coreProperties>
</file>