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4A" w:rsidRPr="007F224A" w:rsidRDefault="007F224A" w:rsidP="007F224A">
      <w:pPr>
        <w:shd w:val="clear" w:color="auto" w:fill="EFEFE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7F224A">
        <w:rPr>
          <w:rFonts w:ascii="Microsoft Yahei" w:eastAsia="宋体" w:hAnsi="Microsoft Yahei" w:cs="宋体"/>
          <w:color w:val="000000"/>
          <w:sz w:val="21"/>
          <w:szCs w:val="21"/>
        </w:rPr>
        <w:br/>
      </w:r>
    </w:p>
    <w:p w:rsidR="007F224A" w:rsidRPr="007F224A" w:rsidRDefault="007F224A" w:rsidP="007F224A">
      <w:pPr>
        <w:numPr>
          <w:ilvl w:val="0"/>
          <w:numId w:val="1"/>
        </w:numPr>
        <w:shd w:val="clear" w:color="auto" w:fill="EFEFEF"/>
        <w:adjustRightInd/>
        <w:snapToGrid/>
        <w:ind w:left="0"/>
        <w:rPr>
          <w:rFonts w:ascii="Microsoft Yahei" w:eastAsia="宋体" w:hAnsi="Microsoft Yahei" w:cs="宋体"/>
          <w:color w:val="FFFFFF"/>
          <w:sz w:val="21"/>
          <w:szCs w:val="21"/>
        </w:rPr>
      </w:pPr>
      <w:r>
        <w:rPr>
          <w:rFonts w:ascii="Microsoft Yahei" w:eastAsia="宋体" w:hAnsi="Microsoft Yahei" w:cs="宋体" w:hint="eastAsia"/>
          <w:noProof/>
          <w:color w:val="FFFFFF"/>
          <w:sz w:val="21"/>
          <w:szCs w:val="21"/>
        </w:rPr>
        <w:drawing>
          <wp:inline distT="0" distB="0" distL="0" distR="0">
            <wp:extent cx="7620000" cy="3524250"/>
            <wp:effectExtent l="19050" t="0" r="0" b="0"/>
            <wp:docPr id="1" name="图片 1" descr="http://test92.cindanet.com/uploadfile/2017/0612/2017061202563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12/20170612025636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4A" w:rsidRPr="007F224A" w:rsidRDefault="007F224A" w:rsidP="007F224A">
      <w:pPr>
        <w:numPr>
          <w:ilvl w:val="0"/>
          <w:numId w:val="2"/>
        </w:numPr>
        <w:shd w:val="clear" w:color="auto" w:fill="EFEFEF"/>
        <w:adjustRightInd/>
        <w:snapToGrid/>
        <w:spacing w:after="0"/>
        <w:ind w:left="0"/>
        <w:rPr>
          <w:rFonts w:ascii="Microsoft Yahei" w:eastAsia="宋体" w:hAnsi="Microsoft Yahei" w:cs="宋体"/>
          <w:color w:val="FFFFFF"/>
          <w:sz w:val="21"/>
          <w:szCs w:val="21"/>
        </w:rPr>
      </w:pPr>
      <w:r>
        <w:rPr>
          <w:rFonts w:ascii="Microsoft Yahei" w:eastAsia="宋体" w:hAnsi="Microsoft Yahei" w:cs="宋体" w:hint="eastAsia"/>
          <w:noProof/>
          <w:color w:val="FFFFFF"/>
          <w:sz w:val="21"/>
          <w:szCs w:val="21"/>
        </w:rPr>
        <w:drawing>
          <wp:inline distT="0" distB="0" distL="0" distR="0">
            <wp:extent cx="7620000" cy="3524250"/>
            <wp:effectExtent l="19050" t="0" r="0" b="0"/>
            <wp:docPr id="2" name="图片 2" descr="http://test92.cindanet.com/uploadfile/2017/0612/2017061202563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92.cindanet.com/uploadfile/2017/0612/20170612025636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4A" w:rsidRPr="007F224A" w:rsidRDefault="007F224A" w:rsidP="007F224A">
      <w:pPr>
        <w:shd w:val="clear" w:color="auto" w:fill="FFFFFF"/>
        <w:adjustRightInd/>
        <w:snapToGrid/>
        <w:spacing w:after="150" w:line="600" w:lineRule="atLeast"/>
        <w:outlineLvl w:val="2"/>
        <w:rPr>
          <w:rFonts w:ascii="Microsoft Yahei" w:eastAsia="宋体" w:hAnsi="Microsoft Yahei" w:cs="宋体"/>
          <w:color w:val="333333"/>
          <w:sz w:val="36"/>
          <w:szCs w:val="36"/>
        </w:rPr>
      </w:pPr>
      <w:r w:rsidRPr="007F224A">
        <w:rPr>
          <w:rFonts w:ascii="Microsoft Yahei" w:eastAsia="宋体" w:hAnsi="Microsoft Yahei" w:cs="宋体"/>
          <w:color w:val="333333"/>
          <w:sz w:val="36"/>
          <w:szCs w:val="36"/>
        </w:rPr>
        <w:t>上海辰华</w:t>
      </w:r>
      <w:r w:rsidRPr="007F224A">
        <w:rPr>
          <w:rFonts w:ascii="Microsoft Yahei" w:eastAsia="宋体" w:hAnsi="Microsoft Yahei" w:cs="宋体"/>
          <w:color w:val="333333"/>
          <w:sz w:val="36"/>
          <w:szCs w:val="36"/>
        </w:rPr>
        <w:t>CHI660E</w:t>
      </w:r>
      <w:r w:rsidRPr="007F224A">
        <w:rPr>
          <w:rFonts w:ascii="Microsoft Yahei" w:eastAsia="宋体" w:hAnsi="Microsoft Yahei" w:cs="宋体"/>
          <w:color w:val="333333"/>
          <w:sz w:val="36"/>
          <w:szCs w:val="36"/>
        </w:rPr>
        <w:t>系列电化学分析仪</w:t>
      </w:r>
      <w:r w:rsidRPr="007F224A">
        <w:rPr>
          <w:rFonts w:ascii="Microsoft Yahei" w:eastAsia="宋体" w:hAnsi="Microsoft Yahei" w:cs="宋体"/>
          <w:color w:val="333333"/>
          <w:sz w:val="36"/>
          <w:szCs w:val="36"/>
        </w:rPr>
        <w:t xml:space="preserve"> </w:t>
      </w:r>
      <w:r w:rsidRPr="007F224A">
        <w:rPr>
          <w:rFonts w:ascii="Microsoft Yahei" w:eastAsia="宋体" w:hAnsi="Microsoft Yahei" w:cs="宋体"/>
          <w:color w:val="333333"/>
          <w:sz w:val="36"/>
          <w:szCs w:val="36"/>
        </w:rPr>
        <w:t>电化学工作站</w:t>
      </w:r>
    </w:p>
    <w:p w:rsidR="007F224A" w:rsidRPr="007F224A" w:rsidRDefault="007F224A" w:rsidP="007F224A">
      <w:pPr>
        <w:pBdr>
          <w:bottom w:val="dashed" w:sz="6" w:space="8" w:color="9E9E9E"/>
        </w:pBdr>
        <w:shd w:val="clear" w:color="auto" w:fill="FFFFFF"/>
        <w:adjustRightInd/>
        <w:snapToGrid/>
        <w:spacing w:after="150" w:line="450" w:lineRule="atLeast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lastRenderedPageBreak/>
        <w:t>CHI600E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系列为通用电化学测量系统。下图为仪器的硬件结构示意图。仪器内含快速数字信号发生器，用于高频交流阻抗测量的直接数字信号合成器，双通道高速数据采集系统，电位电流信号滤波器，多级信号增益，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iR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降补偿电路，以及恒电位仪／恒电流仪（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660E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）。电位范围为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±10V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，电流范围为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±250mA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。电流测量下限低于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10pA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。</w:t>
      </w:r>
    </w:p>
    <w:p w:rsidR="007F224A" w:rsidRPr="007F224A" w:rsidRDefault="007F224A" w:rsidP="007F224A">
      <w:pPr>
        <w:numPr>
          <w:ilvl w:val="0"/>
          <w:numId w:val="3"/>
        </w:numPr>
        <w:shd w:val="clear" w:color="auto" w:fill="FFFFFF"/>
        <w:adjustRightInd/>
        <w:snapToGrid/>
        <w:spacing w:after="0" w:line="450" w:lineRule="atLeast"/>
        <w:ind w:left="0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型　　号：</w:t>
      </w: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CHI660E CHI600E</w:t>
      </w:r>
    </w:p>
    <w:p w:rsidR="007F224A" w:rsidRPr="007F224A" w:rsidRDefault="007F224A" w:rsidP="007F224A">
      <w:pPr>
        <w:numPr>
          <w:ilvl w:val="0"/>
          <w:numId w:val="3"/>
        </w:numPr>
        <w:shd w:val="clear" w:color="auto" w:fill="FFFFFF"/>
        <w:adjustRightInd/>
        <w:snapToGrid/>
        <w:spacing w:after="0" w:line="450" w:lineRule="atLeast"/>
        <w:ind w:left="0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7F224A">
        <w:rPr>
          <w:rFonts w:ascii="Microsoft Yahei" w:eastAsia="宋体" w:hAnsi="Microsoft Yahei" w:cs="宋体"/>
          <w:color w:val="333333"/>
          <w:sz w:val="21"/>
          <w:szCs w:val="21"/>
        </w:rPr>
        <w:t>产　　地：上海</w:t>
      </w:r>
    </w:p>
    <w:p w:rsidR="007F224A" w:rsidRPr="007F224A" w:rsidRDefault="007F224A" w:rsidP="007F224A">
      <w:pPr>
        <w:shd w:val="clear" w:color="auto" w:fill="FFFFFF"/>
        <w:adjustRightInd/>
        <w:snapToGrid/>
        <w:spacing w:line="450" w:lineRule="atLeast"/>
        <w:rPr>
          <w:rFonts w:ascii="Microsoft Yahei" w:eastAsia="宋体" w:hAnsi="Microsoft Yahei" w:cs="宋体"/>
          <w:color w:val="333333"/>
          <w:sz w:val="21"/>
          <w:szCs w:val="21"/>
        </w:rPr>
      </w:pPr>
      <w:hyperlink r:id="rId8" w:history="1">
        <w:r w:rsidRPr="007F224A">
          <w:rPr>
            <w:rFonts w:ascii="Microsoft Yahei" w:eastAsia="宋体" w:hAnsi="Microsoft Yahei" w:cs="宋体"/>
            <w:b/>
            <w:bCs/>
            <w:color w:val="FFFFFF"/>
            <w:sz w:val="27"/>
            <w:u w:val="single"/>
          </w:rPr>
          <w:t>点击咨询</w:t>
        </w:r>
      </w:hyperlink>
    </w:p>
    <w:p w:rsidR="007F224A" w:rsidRPr="007F224A" w:rsidRDefault="007F224A" w:rsidP="007F224A">
      <w:pPr>
        <w:numPr>
          <w:ilvl w:val="0"/>
          <w:numId w:val="4"/>
        </w:numPr>
        <w:shd w:val="clear" w:color="auto" w:fill="FFFFFF"/>
        <w:adjustRightInd/>
        <w:snapToGrid/>
        <w:spacing w:after="0" w:line="600" w:lineRule="atLeast"/>
        <w:ind w:left="0"/>
        <w:jc w:val="center"/>
        <w:rPr>
          <w:rFonts w:ascii="Microsoft Yahei" w:eastAsia="宋体" w:hAnsi="Microsoft Yahei" w:cs="宋体"/>
          <w:color w:val="818181"/>
          <w:sz w:val="24"/>
          <w:szCs w:val="24"/>
        </w:rPr>
      </w:pPr>
      <w:r w:rsidRPr="007F224A">
        <w:rPr>
          <w:rFonts w:ascii="Microsoft Yahei" w:eastAsia="宋体" w:hAnsi="Microsoft Yahei" w:cs="宋体"/>
          <w:color w:val="818181"/>
          <w:sz w:val="24"/>
          <w:szCs w:val="24"/>
        </w:rPr>
        <w:t>优势特点</w:t>
      </w:r>
    </w:p>
    <w:p w:rsidR="007F224A" w:rsidRPr="007F224A" w:rsidRDefault="007F224A" w:rsidP="007F224A">
      <w:pPr>
        <w:numPr>
          <w:ilvl w:val="0"/>
          <w:numId w:val="4"/>
        </w:numPr>
        <w:shd w:val="clear" w:color="auto" w:fill="FFFFFF"/>
        <w:adjustRightInd/>
        <w:snapToGrid/>
        <w:spacing w:after="0" w:line="600" w:lineRule="atLeast"/>
        <w:ind w:left="0"/>
        <w:jc w:val="center"/>
        <w:rPr>
          <w:rFonts w:ascii="Microsoft Yahei" w:eastAsia="宋体" w:hAnsi="Microsoft Yahei" w:cs="宋体"/>
          <w:color w:val="818181"/>
          <w:sz w:val="24"/>
          <w:szCs w:val="24"/>
        </w:rPr>
      </w:pPr>
      <w:r w:rsidRPr="007F224A">
        <w:rPr>
          <w:rFonts w:ascii="Microsoft Yahei" w:eastAsia="宋体" w:hAnsi="Microsoft Yahei" w:cs="宋体"/>
          <w:color w:val="818181"/>
          <w:sz w:val="24"/>
          <w:szCs w:val="24"/>
        </w:rPr>
        <w:t>产品应用</w:t>
      </w:r>
    </w:p>
    <w:p w:rsidR="007F224A" w:rsidRPr="007F224A" w:rsidRDefault="007F224A" w:rsidP="007F224A">
      <w:pPr>
        <w:numPr>
          <w:ilvl w:val="0"/>
          <w:numId w:val="4"/>
        </w:numPr>
        <w:shd w:val="clear" w:color="auto" w:fill="FFFFFF"/>
        <w:adjustRightInd/>
        <w:snapToGrid/>
        <w:spacing w:after="0" w:line="600" w:lineRule="atLeast"/>
        <w:ind w:left="0"/>
        <w:jc w:val="center"/>
        <w:rPr>
          <w:rFonts w:ascii="Microsoft Yahei" w:eastAsia="宋体" w:hAnsi="Microsoft Yahei" w:cs="宋体"/>
          <w:color w:val="818181"/>
          <w:sz w:val="24"/>
          <w:szCs w:val="24"/>
        </w:rPr>
      </w:pPr>
      <w:r w:rsidRPr="007F224A">
        <w:rPr>
          <w:rFonts w:ascii="Microsoft Yahei" w:eastAsia="宋体" w:hAnsi="Microsoft Yahei" w:cs="宋体"/>
          <w:color w:val="818181"/>
          <w:sz w:val="24"/>
          <w:szCs w:val="24"/>
        </w:rPr>
        <w:t>详细介绍</w:t>
      </w:r>
    </w:p>
    <w:p w:rsidR="007F224A" w:rsidRPr="007F224A" w:rsidRDefault="007F224A" w:rsidP="007F224A">
      <w:pPr>
        <w:numPr>
          <w:ilvl w:val="0"/>
          <w:numId w:val="4"/>
        </w:numPr>
        <w:shd w:val="clear" w:color="auto" w:fill="FFFFFF"/>
        <w:adjustRightInd/>
        <w:snapToGrid/>
        <w:spacing w:after="0" w:line="600" w:lineRule="atLeast"/>
        <w:ind w:left="0"/>
        <w:jc w:val="center"/>
        <w:rPr>
          <w:rFonts w:ascii="Microsoft Yahei" w:eastAsia="宋体" w:hAnsi="Microsoft Yahei" w:cs="宋体"/>
          <w:color w:val="818181"/>
          <w:sz w:val="24"/>
          <w:szCs w:val="24"/>
        </w:rPr>
      </w:pPr>
      <w:r w:rsidRPr="007F224A">
        <w:rPr>
          <w:rFonts w:ascii="Microsoft Yahei" w:eastAsia="宋体" w:hAnsi="Microsoft Yahei" w:cs="宋体"/>
          <w:color w:val="818181"/>
          <w:sz w:val="24"/>
          <w:szCs w:val="24"/>
        </w:rPr>
        <w:t>规格参数</w:t>
      </w:r>
    </w:p>
    <w:p w:rsidR="007F224A" w:rsidRPr="007F224A" w:rsidRDefault="007F224A" w:rsidP="007F224A">
      <w:pPr>
        <w:numPr>
          <w:ilvl w:val="0"/>
          <w:numId w:val="4"/>
        </w:numPr>
        <w:shd w:val="clear" w:color="auto" w:fill="FFFFFF"/>
        <w:adjustRightInd/>
        <w:snapToGrid/>
        <w:spacing w:after="0" w:line="600" w:lineRule="atLeast"/>
        <w:ind w:left="0"/>
        <w:jc w:val="center"/>
        <w:rPr>
          <w:rFonts w:ascii="Microsoft Yahei" w:eastAsia="宋体" w:hAnsi="Microsoft Yahei" w:cs="宋体"/>
          <w:color w:val="818181"/>
          <w:sz w:val="24"/>
          <w:szCs w:val="24"/>
        </w:rPr>
      </w:pPr>
      <w:r w:rsidRPr="007F224A">
        <w:rPr>
          <w:rFonts w:ascii="Microsoft Yahei" w:eastAsia="宋体" w:hAnsi="Microsoft Yahei" w:cs="宋体"/>
          <w:color w:val="818181"/>
          <w:sz w:val="24"/>
          <w:szCs w:val="24"/>
        </w:rPr>
        <w:t>案例文章</w:t>
      </w:r>
    </w:p>
    <w:p w:rsidR="007F224A" w:rsidRPr="007F224A" w:rsidRDefault="007F224A" w:rsidP="007F224A">
      <w:pPr>
        <w:numPr>
          <w:ilvl w:val="0"/>
          <w:numId w:val="4"/>
        </w:numPr>
        <w:shd w:val="clear" w:color="auto" w:fill="FFFFFF"/>
        <w:adjustRightInd/>
        <w:snapToGrid/>
        <w:spacing w:after="0" w:line="600" w:lineRule="atLeast"/>
        <w:ind w:left="0"/>
        <w:jc w:val="center"/>
        <w:rPr>
          <w:rFonts w:ascii="Microsoft Yahei" w:eastAsia="宋体" w:hAnsi="Microsoft Yahei" w:cs="宋体"/>
          <w:color w:val="818181"/>
          <w:sz w:val="24"/>
          <w:szCs w:val="24"/>
        </w:rPr>
      </w:pPr>
      <w:r w:rsidRPr="007F224A">
        <w:rPr>
          <w:rFonts w:ascii="Microsoft Yahei" w:eastAsia="宋体" w:hAnsi="Microsoft Yahei" w:cs="宋体"/>
          <w:color w:val="818181"/>
          <w:sz w:val="24"/>
          <w:szCs w:val="24"/>
        </w:rPr>
        <w:t>相关产品</w:t>
      </w:r>
    </w:p>
    <w:p w:rsidR="007F224A" w:rsidRPr="007F224A" w:rsidRDefault="007F224A" w:rsidP="007F224A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bookmarkStart w:id="0" w:name="one"/>
      <w:bookmarkEnd w:id="0"/>
    </w:p>
    <w:p w:rsidR="007F224A" w:rsidRPr="007F224A" w:rsidRDefault="007F224A" w:rsidP="007F224A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bookmarkStart w:id="1" w:name="two"/>
      <w:bookmarkEnd w:id="1"/>
    </w:p>
    <w:p w:rsidR="007F224A" w:rsidRPr="007F224A" w:rsidRDefault="007F224A" w:rsidP="007F224A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bookmarkStart w:id="2" w:name="three"/>
      <w:bookmarkEnd w:id="2"/>
      <w:r w:rsidRPr="007F224A">
        <w:rPr>
          <w:rFonts w:ascii="微软雅黑" w:hAnsi="微软雅黑" w:cs="宋体" w:hint="eastAsia"/>
          <w:b/>
          <w:bCs/>
          <w:color w:val="000000"/>
          <w:sz w:val="21"/>
        </w:rPr>
        <w:t>详细介绍</w:t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br/>
      </w:r>
      <w:r w:rsidRPr="007F224A">
        <w:rPr>
          <w:rFonts w:ascii="微软雅黑" w:hAnsi="微软雅黑" w:cs="宋体" w:hint="eastAsia"/>
          <w:b/>
          <w:bCs/>
          <w:color w:val="000000"/>
          <w:sz w:val="21"/>
        </w:rPr>
        <w:t>上海辰华CHI600E系列电化学分析仪/电化学工作站</w:t>
      </w:r>
      <w:r w:rsidRPr="007F224A">
        <w:rPr>
          <w:rFonts w:ascii="Microsoft Yahei" w:eastAsia="宋体" w:hAnsi="Microsoft Yahei" w:cs="宋体"/>
          <w:color w:val="000000"/>
          <w:sz w:val="21"/>
          <w:szCs w:val="21"/>
        </w:rPr>
        <w:br/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t>CHI600E系列为通用电化学测量系统。下图为仪器的硬件结构示意图。仪器内含快速数字信号发生器，用于高频交流阻抗测量的直接数字信号合成器，双通道高速数据采集系统，电位电流信号滤波器，多级信号增益，iR降补偿电路，以及恒电位仪／恒电流仪（660E）。电位范围为±10V，电流范围为±250mA。电流测量下限低于10pA。可直接用于超微电极上的稳态电流测量。如果与CHI200B微电流放大器及屏蔽箱连接，可测量1pA或更低的电流。如果与CHI680C大电流放大器连接，电流范围可拓宽为±2A。CHI600E系列也是</w:t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lastRenderedPageBreak/>
        <w:t>十分快速的仪器。信号发生器的更新速率为10MHz，数据采集采用两个同步16位高分辨低噪声的模数转换器，双通道同时采样的最高速率为1MHz。双通道同步电流电位采样可加快阻抗测量的速度。某些实验方法的时间尺度可达十个数量级，动态范围极为宽广。循环伏安法的扫描速度为1000V/s时，电位增量仅0.1mV，当扫描速度为5000V/s时，电位增量为1mV。又如交流阻抗的测量频率可达1MHz，交流伏安法的频率可达10KHz。仪器可工作于二，三，或四电极的方式。四电极可用于液/液界面电化学测量，对于大电流或低阻抗电解池（例如电池）也十分重要，可消除由于电缆和接触电阻引起的测量误差。仪器还有外部信号输入通道，同步16位高分辨采样的最高速率为1MHz。可在记录电化学信号的同时记录外部输入的电压信号，例如光谱信号等。这对光谱电化学等实验极为方便。</w:t>
      </w:r>
      <w:r w:rsidRPr="007F224A">
        <w:rPr>
          <w:rFonts w:ascii="Microsoft Yahei" w:eastAsia="宋体" w:hAnsi="Microsoft Yahei" w:cs="宋体"/>
          <w:color w:val="000000"/>
          <w:sz w:val="21"/>
          <w:szCs w:val="21"/>
        </w:rPr>
        <w:br/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t>CHI600E系列硬件采用了高速的处理器，快速的放大器，快速的模数转换器和数模转换器。计时电量法加上了模拟积分器。一个16位高分辨高稳定的电流偏置电路以达到电流复零输出，亦可用于提高交流测量的电流动态范围。高分辨的模数转换器具有更好的信噪比，也给出了灵敏度设置的更大动态范围。</w:t>
      </w:r>
      <w:r w:rsidRPr="007F224A">
        <w:rPr>
          <w:rFonts w:ascii="Microsoft Yahei" w:eastAsia="宋体" w:hAnsi="Microsoft Yahei" w:cs="宋体"/>
          <w:color w:val="000000"/>
          <w:sz w:val="21"/>
          <w:szCs w:val="21"/>
        </w:rPr>
        <w:br/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t>CHI600E系列仪器的内部控制程序采用了FLASH存储器。仪器软件的更新不再需要通过邮寄并更换EPROM，而可以通过网络进行传送并通过程序命令写入。这使得软件更新更加快捷方便。</w:t>
      </w:r>
      <w:r w:rsidRPr="007F224A">
        <w:rPr>
          <w:rFonts w:ascii="Microsoft Yahei" w:eastAsia="宋体" w:hAnsi="Microsoft Yahei" w:cs="宋体"/>
          <w:color w:val="000000"/>
          <w:sz w:val="21"/>
          <w:szCs w:val="21"/>
        </w:rPr>
        <w:br/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t>CHI600E系列还允许升级为双恒电位仪。新的设计通过增加一块第二通道的电位控制，电流电压转换，多级增益和低通滤波器的电路板，便成了CHI700E系列的双恒电位仪。</w:t>
      </w:r>
      <w:r w:rsidRPr="007F224A">
        <w:rPr>
          <w:rFonts w:ascii="Microsoft Yahei" w:eastAsia="宋体" w:hAnsi="Microsoft Yahei" w:cs="宋体"/>
          <w:color w:val="000000"/>
          <w:sz w:val="21"/>
          <w:szCs w:val="21"/>
        </w:rPr>
        <w:br/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lastRenderedPageBreak/>
        <w:t>CHI600E系列仪器集成了几乎所有常用的电化学测量技术。为了满足不同的应用需要以及经费条件，CHI600E系列分成多种型号。不同的型号具有不同的电化学测量技术和功能，但基本的硬件参数指标和软件性能是相同的。CHI600E和CHI610E为基本型，分别用于机理研究和分析应用。它们也是十分优良的教学仪器。CHI602E和CHI604E可用于腐蚀研究。CHI620E和CHI630E为综合电化学分析仪，而CHI650E和CHI660E为更先进的电化学工作站。</w:t>
      </w:r>
    </w:p>
    <w:p w:rsidR="007F224A" w:rsidRPr="007F224A" w:rsidRDefault="007F224A" w:rsidP="007F224A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bookmarkStart w:id="3" w:name="four"/>
      <w:bookmarkEnd w:id="3"/>
      <w:r w:rsidRPr="007F224A">
        <w:rPr>
          <w:rFonts w:ascii="微软雅黑" w:hAnsi="微软雅黑" w:cs="宋体" w:hint="eastAsia"/>
          <w:b/>
          <w:bCs/>
          <w:color w:val="000000"/>
          <w:sz w:val="21"/>
        </w:rPr>
        <w:t>规格参数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1"/>
        <w:gridCol w:w="255"/>
        <w:gridCol w:w="4956"/>
      </w:tblGrid>
      <w:tr w:rsidR="007F224A" w:rsidRPr="007F224A" w:rsidTr="007F224A">
        <w:trPr>
          <w:trHeight w:val="3750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恒电位仪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零阻电流计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2，3，4电极结构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浮动地线或实地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</w:t>
            </w: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最大电位范围：±10V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</w: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· 最大电流：±250mA连续,±350mA峰值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</w: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· 槽压：±13V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恒电位仪上升时间：小于1ms,通常0.8ms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恒电位仪带宽（-3分贝）：1MHz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所加电位范围：±10mV, ±50mV, ±100mV, ±650mV, ±3.276V, ±6.553V, ±10V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所加电位分辨：电位范围的0.0015%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所加电位准确度：±1mV,±满量程的0.01%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所加电位噪声：&lt;10mV均方根植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测量电流范围：±10pA至±0.25A，12量程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测量电流分辨：电流量程的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0.0015%，最低0.3fA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电流测量准确度：电流灵敏度大于等于1e-6A/V时为0.2%，其他量程1%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输入偏置电流：&lt;20pA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</w: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恒电流仪(CHI660E)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恒电流范围：3nA–250mA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所加电流准确度：如果电流大于3e-7A时为0.2%，其他范围为1%，±20pA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所加电流分辨率：电流范围的0.03%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测量电流范围：±0.025V,±0.1V,±0.25V,±1V,±2.5V,±10V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测量电位分辨率：测量范围的0.0015%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</w: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电位计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·参比电极输入阻抗：1e12欧姆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·参比电极输入带宽：10MHz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·参比电极输入偏置电流：&lt;=10pA @ 25°C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</w: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波形发生和数据获得系统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快速信号发生更新速率：10MHz，16位分辨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快速数据采集系统：16位分辨，双通道同步采样，采样速率每秒1,000,000点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 外部信号记录通道最高采样速率：1MHz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 可拓展扫描电化学显微镜功能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 </w:t>
            </w: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附件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 电极线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 USB通讯线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 电源线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宋体" w:eastAsia="宋体" w:hAnsi="宋体" w:cs="宋体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实验参数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CV和LSV扫描速度：0.000001V/s至10,000V/s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扫描时的电位增量：0.1mV（当扫速为1,000V/s时）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CA和CC的脉冲宽度：0.0001至1000sec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CA和CC的最小采样间隔：1ms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CC模拟积分器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DPV和NPV的脉冲宽度：0.001至10sec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SWV频率：1至100kHz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i-t的最小采样间隔：1ms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ACV频率范围：0.1至10kHz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SHACV频率范围：0.1至5kHz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FTACV频率范围：0.1至50Hz，可同时获取基波，二次谐波，三次谐波，四次谐波，五次谐波，六次谐波的ACV数据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交流阻抗：0.00001至1MHz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交流阻抗波形幅度：0.00001V至0.7V均方根值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</w:r>
            <w:r w:rsidRPr="007F224A">
              <w:rPr>
                <w:rFonts w:ascii="微软雅黑" w:hAnsi="微软雅黑" w:cs="宋体" w:hint="eastAsia"/>
                <w:b/>
                <w:bCs/>
                <w:sz w:val="21"/>
              </w:rPr>
              <w:t>其他特点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自动或手动iR降补偿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电流测量偏置：满量程，16位分辨，0.003%准确度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电位测量偏置：±10V，16位分辨，0.003%准确度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外部电位输入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电位和电流的模拟输出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可控电位滤波器的截止频率：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1.5MHz,150KHz,15KHz,1.5KHz,150Hz,15Hz,1.5Hz, 0.15Hz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可控信号滤波器的截止频率：1.5MHz,150KHz,15KHz,1.5KHz,150Hz,15Hz,1.5Hz, 0.15Hz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旋转电极控制电压输出（CHI630E以上型号）：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0-10V对用于0-10000rpm的转速，16位分辨，0.003%准确度，需要某些旋转电极装置才能工作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通过宏命令可以控制数字输入输出线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内闪存储器可迅速更新程序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串行口或USB口数据通讯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电解池控制：通氮，搅拌，敲击（需要特殊电解池系统）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CV数字模拟器和拟合器。用户定义反应机理（CHI630E以上）或预定义反应机理（其他型号）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交流阻抗模拟器和拟合器（具有交流阻抗测量功能的型号）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最大数据长度：256K-16384K可选</w:t>
            </w: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br/>
              <w:t>· 仪器尺寸： 37 cm (宽) ´ 23 cm (深) ´ 12 cm (高)</w:t>
            </w:r>
          </w:p>
        </w:tc>
      </w:tr>
    </w:tbl>
    <w:p w:rsidR="007F224A" w:rsidRPr="007F224A" w:rsidRDefault="007F224A" w:rsidP="007F224A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7F224A">
        <w:rPr>
          <w:rFonts w:ascii="Microsoft Yahei" w:eastAsia="宋体" w:hAnsi="Microsoft Yahei" w:cs="宋体"/>
          <w:color w:val="000000"/>
          <w:sz w:val="21"/>
          <w:szCs w:val="21"/>
        </w:rPr>
        <w:lastRenderedPageBreak/>
        <w:br/>
      </w:r>
      <w:r w:rsidRPr="007F224A">
        <w:rPr>
          <w:rFonts w:ascii="微软雅黑" w:hAnsi="微软雅黑" w:cs="宋体" w:hint="eastAsia"/>
          <w:b/>
          <w:bCs/>
          <w:color w:val="000000"/>
          <w:sz w:val="21"/>
          <w:szCs w:val="21"/>
        </w:rPr>
        <w:t>CHI600E</w:t>
      </w:r>
      <w:r w:rsidRPr="007F224A">
        <w:rPr>
          <w:rFonts w:ascii="微软雅黑" w:hAnsi="微软雅黑" w:cs="宋体" w:hint="eastAsia"/>
          <w:b/>
          <w:bCs/>
          <w:color w:val="000000"/>
          <w:sz w:val="21"/>
        </w:rPr>
        <w:t>系列仪器不同型号的比较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1"/>
        <w:gridCol w:w="696"/>
        <w:gridCol w:w="705"/>
        <w:gridCol w:w="705"/>
        <w:gridCol w:w="705"/>
        <w:gridCol w:w="705"/>
        <w:gridCol w:w="705"/>
        <w:gridCol w:w="705"/>
        <w:gridCol w:w="705"/>
      </w:tblGrid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功能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600E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602E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604E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610E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620E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630E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650E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660E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循环伏安法（CV）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线性扫描伏安法（LSV）</w:t>
            </w:r>
            <w:r w:rsidRPr="007F224A">
              <w:rPr>
                <w:rFonts w:ascii="微软雅黑" w:hAnsi="微软雅黑" w:cs="宋体" w:hint="eastAsia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阶梯波伏安法（SCV）</w:t>
            </w:r>
            <w:r w:rsidRPr="007F224A">
              <w:rPr>
                <w:rFonts w:ascii="微软雅黑" w:hAnsi="微软雅黑" w:cs="宋体" w:hint="eastAsia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Tafel图（TAFEL）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计时电流法（CA）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计时电量法（CC）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差分脉冲伏安法（DPV）</w:t>
            </w:r>
            <w:r w:rsidRPr="007F224A">
              <w:rPr>
                <w:rFonts w:ascii="微软雅黑" w:hAnsi="微软雅黑" w:cs="宋体" w:hint="eastAsia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常规脉冲伏安法（NPV）</w:t>
            </w:r>
            <w:r w:rsidRPr="007F224A">
              <w:rPr>
                <w:rFonts w:ascii="微软雅黑" w:hAnsi="微软雅黑" w:cs="宋体" w:hint="eastAsia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差分常规脉冲伏安法（DNPV）</w:t>
            </w:r>
            <w:r w:rsidRPr="007F224A">
              <w:rPr>
                <w:rFonts w:ascii="微软雅黑" w:hAnsi="微软雅黑" w:cs="宋体" w:hint="eastAsia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方波伏安法（SWV）</w:t>
            </w:r>
            <w:r w:rsidRPr="007F224A">
              <w:rPr>
                <w:rFonts w:ascii="微软雅黑" w:hAnsi="微软雅黑" w:cs="宋体" w:hint="eastAsia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交流（含相敏）伏安法（ACV）</w:t>
            </w:r>
            <w:r w:rsidRPr="007F224A">
              <w:rPr>
                <w:rFonts w:ascii="微软雅黑" w:hAnsi="微软雅黑" w:cs="宋体" w:hint="eastAsia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二次谐波交流（相敏）伏安法（SHACV）</w:t>
            </w:r>
            <w:r w:rsidRPr="007F224A">
              <w:rPr>
                <w:rFonts w:ascii="微软雅黑" w:hAnsi="微软雅黑" w:cs="宋体" w:hint="eastAsia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傅里叶变换交流伏安法（FTACV）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电流-时间曲线（i-t）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差分脉冲电流检测（DPA）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双差分脉冲电流检测（DDPA）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三脉冲电流检测（TPA）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积分脉冲电流检测（IPAD）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控制电位电解库仑法（BE）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流体力学调制伏安法（HMV）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扫描-阶跃混合方法（SSF）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多电位阶跃方法（STEP）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交流阻抗测量（IMP）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交流阻抗-时间测量（IMPT）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交流阻抗-电位测量（IMPE）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计时电位法（CP）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电流扫描计时电位法（CPCR）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多电流阶跃法（ISTEP）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电位溶出分析（PSA）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电化学噪声测量（ECN）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开路电压-时间曲线（OCPT）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恒电流仪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RDE控制（0-10V输出）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任意反应机理CV模拟器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预设反应机理CV模拟器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交流阻抗数字模拟器和拟合程序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l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</w:tr>
      <w:tr w:rsidR="007F224A" w:rsidRPr="007F224A" w:rsidTr="007F224A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价格（元）*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25,400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30,000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36,900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25,400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34,600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43,800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50,700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24A" w:rsidRPr="007F224A" w:rsidRDefault="007F224A" w:rsidP="007F2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F224A">
              <w:rPr>
                <w:rFonts w:ascii="微软雅黑" w:hAnsi="微软雅黑" w:cs="宋体" w:hint="eastAsia"/>
                <w:sz w:val="21"/>
                <w:szCs w:val="21"/>
              </w:rPr>
              <w:t>57,600</w:t>
            </w:r>
          </w:p>
        </w:tc>
      </w:tr>
    </w:tbl>
    <w:p w:rsidR="007F224A" w:rsidRPr="007F224A" w:rsidRDefault="007F224A" w:rsidP="007F224A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7F224A">
        <w:rPr>
          <w:rFonts w:ascii="微软雅黑" w:hAnsi="微软雅黑" w:cs="宋体" w:hint="eastAsia"/>
          <w:color w:val="000000"/>
          <w:sz w:val="21"/>
          <w:szCs w:val="21"/>
        </w:rPr>
        <w:t>注： #：包括相应的极谱法和溶出伏安法。用于极谱法时需要特殊的静汞电极或敲击器。</w:t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br/>
        <w:t>*：价格不包括计算机。仪器的保修期为一年。</w:t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br/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br/>
      </w:r>
      <w:r>
        <w:rPr>
          <w:rFonts w:ascii="微软雅黑" w:hAnsi="微软雅黑" w:cs="宋体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8905875" cy="4733925"/>
            <wp:effectExtent l="19050" t="0" r="9525" b="0"/>
            <wp:docPr id="3" name="图片 3" descr="http://test92.cindanet.com/uploadfile/2017/0612/20170612025747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92.cindanet.com/uploadfile/2017/0612/201706120257474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br/>
      </w:r>
      <w:r>
        <w:rPr>
          <w:rFonts w:ascii="微软雅黑" w:hAnsi="微软雅黑" w:cs="宋体"/>
          <w:noProof/>
          <w:color w:val="000000"/>
          <w:sz w:val="21"/>
          <w:szCs w:val="21"/>
        </w:rPr>
        <w:drawing>
          <wp:inline distT="0" distB="0" distL="0" distR="0">
            <wp:extent cx="7229475" cy="2295525"/>
            <wp:effectExtent l="19050" t="0" r="9525" b="0"/>
            <wp:docPr id="4" name="图片 4" descr="http://test92.cindanet.com/uploadfile/2017/0612/20170612025821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92.cindanet.com/uploadfile/2017/0612/201706120258215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br/>
      </w:r>
      <w:r>
        <w:rPr>
          <w:rFonts w:ascii="微软雅黑" w:hAnsi="微软雅黑" w:cs="宋体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7153275" cy="2295525"/>
            <wp:effectExtent l="19050" t="0" r="9525" b="0"/>
            <wp:docPr id="5" name="图片 5" descr="http://test92.cindanet.com/uploadfile/2017/0612/20170612025822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92.cindanet.com/uploadfile/2017/0612/201706120258228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24A">
        <w:rPr>
          <w:rFonts w:ascii="微软雅黑" w:hAnsi="微软雅黑" w:cs="宋体" w:hint="eastAsia"/>
          <w:color w:val="000000"/>
          <w:sz w:val="21"/>
          <w:szCs w:val="21"/>
        </w:rPr>
        <w:br/>
      </w:r>
      <w:r>
        <w:rPr>
          <w:rFonts w:ascii="微软雅黑" w:hAnsi="微软雅黑" w:cs="宋体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848350" cy="8248650"/>
            <wp:effectExtent l="19050" t="0" r="0" b="0"/>
            <wp:docPr id="6" name="图片 6" descr="http://test92.cindanet.com/uploadfile/2017/0612/20170612025900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92.cindanet.com/uploadfile/2017/0612/2017061202590057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85" w:rsidRDefault="00F91C85" w:rsidP="007F224A">
      <w:pPr>
        <w:spacing w:after="0"/>
      </w:pPr>
      <w:r>
        <w:separator/>
      </w:r>
    </w:p>
  </w:endnote>
  <w:endnote w:type="continuationSeparator" w:id="0">
    <w:p w:rsidR="00F91C85" w:rsidRDefault="00F91C85" w:rsidP="007F22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85" w:rsidRDefault="00F91C85" w:rsidP="007F224A">
      <w:pPr>
        <w:spacing w:after="0"/>
      </w:pPr>
      <w:r>
        <w:separator/>
      </w:r>
    </w:p>
  </w:footnote>
  <w:footnote w:type="continuationSeparator" w:id="0">
    <w:p w:rsidR="00F91C85" w:rsidRDefault="00F91C85" w:rsidP="007F22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A04"/>
    <w:multiLevelType w:val="multilevel"/>
    <w:tmpl w:val="447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348E1"/>
    <w:multiLevelType w:val="multilevel"/>
    <w:tmpl w:val="3B88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05D32"/>
    <w:multiLevelType w:val="multilevel"/>
    <w:tmpl w:val="3D3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85BA5"/>
    <w:multiLevelType w:val="multilevel"/>
    <w:tmpl w:val="0CC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F224A"/>
    <w:rsid w:val="008B7726"/>
    <w:rsid w:val="00A94A92"/>
    <w:rsid w:val="00D31D50"/>
    <w:rsid w:val="00F9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7F224A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2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2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2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24A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F224A"/>
    <w:rPr>
      <w:rFonts w:ascii="宋体" w:eastAsia="宋体" w:hAnsi="宋体" w:cs="宋体"/>
      <w:b/>
      <w:bCs/>
      <w:sz w:val="27"/>
      <w:szCs w:val="27"/>
    </w:rPr>
  </w:style>
  <w:style w:type="paragraph" w:customStyle="1" w:styleId="bbb-9e9e9e">
    <w:name w:val="bbb-9e9e9e"/>
    <w:basedOn w:val="a"/>
    <w:rsid w:val="007F22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F224A"/>
    <w:rPr>
      <w:color w:val="0000FF"/>
      <w:u w:val="single"/>
    </w:rPr>
  </w:style>
  <w:style w:type="character" w:styleId="a6">
    <w:name w:val="Strong"/>
    <w:basedOn w:val="a0"/>
    <w:uiPriority w:val="22"/>
    <w:qFormat/>
    <w:rsid w:val="007F224A"/>
    <w:rPr>
      <w:b/>
      <w:bCs/>
    </w:rPr>
  </w:style>
  <w:style w:type="character" w:styleId="a7">
    <w:name w:val="Emphasis"/>
    <w:basedOn w:val="a0"/>
    <w:uiPriority w:val="20"/>
    <w:qFormat/>
    <w:rsid w:val="007F224A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7F224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22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5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08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</w:div>
                    <w:div w:id="2103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68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</w:div>
            <w:div w:id="380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wanglifei</cp:lastModifiedBy>
  <cp:revision>2</cp:revision>
  <dcterms:created xsi:type="dcterms:W3CDTF">2008-09-11T17:20:00Z</dcterms:created>
  <dcterms:modified xsi:type="dcterms:W3CDTF">2017-07-12T04:00:00Z</dcterms:modified>
</cp:coreProperties>
</file>