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D3" w:rsidRDefault="00DC47D3" w:rsidP="00DC47D3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</w:rPr>
      </w:pPr>
      <w:bookmarkStart w:id="0" w:name="one"/>
      <w:bookmarkEnd w:id="0"/>
      <w:r w:rsidRPr="00DC47D3">
        <w:rPr>
          <w:rFonts w:ascii="微软雅黑" w:eastAsia="微软雅黑" w:hAnsi="微软雅黑" w:cs="宋体" w:hint="eastAsia"/>
          <w:b/>
          <w:bCs/>
          <w:color w:val="000000"/>
          <w:kern w:val="0"/>
        </w:rPr>
        <w:t>CEL-LAM500紫外光长弧汞灯光源</w:t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C47D3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t>1）长弧汞灯适用紫外光区的光化学反应、光催化、光降解污染物、光降解有害气体；</w:t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t>2）长弧汞灯适用内置式反应形式，适用反应器容积250ml~500ml；</w:t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t>3）汞灯光谱适用于紫外光区的实验；</w:t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t>4）长弧汞灯适用成本低，适用光化学的初步入门研究；</w:t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t>5）长弧汞灯可以实现多个平行样品同时实验，进行催化剂的筛选；</w:t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DC47D3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长弧汞灯广泛应用紫外光下得光解水制氢、光降解污染物、光化学合成等研究领域。该光源可实现使用配套灵活、长时间连续照射。</w:t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DC47D3">
        <w:rPr>
          <w:rFonts w:ascii="微软雅黑" w:eastAsia="微软雅黑" w:hAnsi="微软雅黑" w:cs="宋体" w:hint="eastAsia"/>
          <w:b/>
          <w:bCs/>
          <w:color w:val="000000"/>
          <w:kern w:val="0"/>
        </w:rPr>
        <w:t>详细介绍</w:t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t>光化学反应系统玻璃部分冷阱  CEQW60，石英玻璃材质，用于长弧汞灯的冷却，可以通除部分红外光降低热效应，磨口60/40，有效长度220mm光化学反应器 CEPR250，高硼硅（PYREX）玻璃，用于光化学反应容器，可以配合冷阱、磁力搅拌，可以选择平底和圆底，溶液可以有效的接收汞灯照射。反应器有效容积250ml，磨口60/40，14/23，19/26，24/29  CEPR500，高硼硅（PYREX）玻璃，有效长度220mm，有效容积500ml，磨口60/40，14/23，19/26，24/29</w:t>
      </w: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67325" cy="3514725"/>
            <wp:effectExtent l="19050" t="0" r="9525" b="0"/>
            <wp:docPr id="1" name="图片 1" descr="http://test92.cindanet.com/uploadfile/2017/0607/2017060711214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7/201706071121412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267325" cy="3514725"/>
            <wp:effectExtent l="19050" t="0" r="9525" b="0"/>
            <wp:docPr id="2" name="图片 2" descr="http://test92.cindanet.com/uploadfile/2017/0607/2017060711220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7/20170607112201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395295" cy="3943350"/>
            <wp:effectExtent l="19050" t="0" r="0" b="0"/>
            <wp:docPr id="3" name="图片 3" descr="http://test92.cindanet.com/uploadfile/2017/0607/2017060711220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7/201706071122027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9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D3" w:rsidRPr="00DC47D3" w:rsidRDefault="00DC47D3" w:rsidP="00DC47D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DC47D3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1）长弧汞灯输入功率： 500W；</w:t>
      </w: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2）长弧汞灯全长： 220mm；</w:t>
      </w: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3）配套电源输入：  220V 交流；</w:t>
      </w:r>
      <w:r w:rsidRPr="00DC47D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4）主峰波长：313nm、334nm、365nm；</w:t>
      </w:r>
    </w:p>
    <w:p w:rsidR="00EE6790" w:rsidRPr="00DC47D3" w:rsidRDefault="00EE6790"/>
    <w:sectPr w:rsidR="00EE6790" w:rsidRPr="00DC4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90" w:rsidRDefault="00EE6790" w:rsidP="00DC47D3">
      <w:r>
        <w:separator/>
      </w:r>
    </w:p>
  </w:endnote>
  <w:endnote w:type="continuationSeparator" w:id="1">
    <w:p w:rsidR="00EE6790" w:rsidRDefault="00EE6790" w:rsidP="00DC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90" w:rsidRDefault="00EE6790" w:rsidP="00DC47D3">
      <w:r>
        <w:separator/>
      </w:r>
    </w:p>
  </w:footnote>
  <w:footnote w:type="continuationSeparator" w:id="1">
    <w:p w:rsidR="00EE6790" w:rsidRDefault="00EE6790" w:rsidP="00DC4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7D3"/>
    <w:rsid w:val="00DC47D3"/>
    <w:rsid w:val="00EE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7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4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47D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C47D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4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2017-07-11T06:25:00Z</dcterms:created>
  <dcterms:modified xsi:type="dcterms:W3CDTF">2017-07-11T06:25:00Z</dcterms:modified>
</cp:coreProperties>
</file>