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F1" w:rsidRPr="00C439F1" w:rsidRDefault="00C439F1" w:rsidP="00C439F1">
      <w:pPr>
        <w:widowControl/>
        <w:ind w:left="720"/>
        <w:jc w:val="left"/>
        <w:rPr>
          <w:rFonts w:ascii="微软雅黑" w:eastAsia="微软雅黑" w:hAnsi="微软雅黑" w:cs="宋体" w:hint="eastAsia"/>
          <w:b/>
          <w:bCs/>
          <w:color w:val="000000"/>
          <w:kern w:val="0"/>
          <w:sz w:val="28"/>
          <w:szCs w:val="28"/>
        </w:rPr>
      </w:pPr>
      <w:bookmarkStart w:id="0" w:name="one"/>
      <w:bookmarkEnd w:id="0"/>
      <w:r w:rsidRPr="00C439F1">
        <w:rPr>
          <w:rFonts w:ascii="微软雅黑" w:eastAsia="微软雅黑" w:hAnsi="微软雅黑" w:cs="宋体" w:hint="eastAsia"/>
          <w:b/>
          <w:bCs/>
          <w:color w:val="000000"/>
          <w:kern w:val="0"/>
          <w:sz w:val="28"/>
          <w:szCs w:val="28"/>
        </w:rPr>
        <w:t>太阳能电池QE/IPCE(量子效率)测量系统</w:t>
      </w:r>
    </w:p>
    <w:p w:rsidR="00C439F1" w:rsidRPr="00C439F1" w:rsidRDefault="00C439F1" w:rsidP="00C439F1">
      <w:pPr>
        <w:widowControl/>
        <w:ind w:left="720"/>
        <w:jc w:val="left"/>
        <w:rPr>
          <w:rFonts w:ascii="Microsoft Yahei" w:eastAsia="宋体" w:hAnsi="Microsoft Yahei" w:cs="宋体"/>
          <w:color w:val="000000"/>
          <w:kern w:val="0"/>
          <w:sz w:val="18"/>
          <w:szCs w:val="18"/>
        </w:rPr>
      </w:pPr>
      <w:r w:rsidRPr="00C439F1">
        <w:rPr>
          <w:rFonts w:ascii="微软雅黑" w:eastAsia="微软雅黑" w:hAnsi="微软雅黑" w:cs="宋体" w:hint="eastAsia"/>
          <w:b/>
          <w:bCs/>
          <w:color w:val="000000"/>
          <w:kern w:val="0"/>
        </w:rPr>
        <w:t>优势特点</w:t>
      </w:r>
      <w:r w:rsidRPr="00C439F1">
        <w:rPr>
          <w:rFonts w:ascii="微软雅黑" w:eastAsia="微软雅黑" w:hAnsi="微软雅黑" w:cs="宋体" w:hint="eastAsia"/>
          <w:color w:val="000000"/>
          <w:kern w:val="0"/>
          <w:szCs w:val="21"/>
        </w:rPr>
        <w:br/>
      </w:r>
      <w:r w:rsidRPr="00C439F1">
        <w:rPr>
          <w:rFonts w:ascii="MS Gothic" w:eastAsia="MS Gothic" w:hAnsi="MS Gothic" w:cs="MS Gothic" w:hint="eastAsia"/>
          <w:color w:val="000000"/>
          <w:kern w:val="0"/>
          <w:szCs w:val="21"/>
        </w:rPr>
        <w:t>​</w:t>
      </w:r>
      <w:r w:rsidRPr="00C439F1">
        <w:rPr>
          <w:rFonts w:ascii="微软雅黑" w:eastAsia="微软雅黑" w:hAnsi="微软雅黑" w:cs="宋体" w:hint="eastAsia"/>
          <w:color w:val="000000"/>
          <w:kern w:val="0"/>
          <w:szCs w:val="21"/>
        </w:rPr>
        <w:t>1)符合 ASTM E1021-12，IEC60904-8，GB/T6495.8-2002 等国内外最新测试标准。</w:t>
      </w:r>
      <w:r w:rsidRPr="00C439F1">
        <w:rPr>
          <w:rFonts w:ascii="微软雅黑" w:eastAsia="微软雅黑" w:hAnsi="微软雅黑" w:cs="宋体" w:hint="eastAsia"/>
          <w:color w:val="000000"/>
          <w:kern w:val="0"/>
          <w:szCs w:val="21"/>
        </w:rPr>
        <w:br/>
        <w:t>2）“一键式”全自动化测试，自动切换标准件和被测件，测试过程无需任何人工参与。</w:t>
      </w:r>
      <w:r w:rsidRPr="00C439F1">
        <w:rPr>
          <w:rFonts w:ascii="微软雅黑" w:eastAsia="微软雅黑" w:hAnsi="微软雅黑" w:cs="宋体" w:hint="eastAsia"/>
          <w:color w:val="000000"/>
          <w:kern w:val="0"/>
          <w:szCs w:val="21"/>
        </w:rPr>
        <w:br/>
        <w:t>3）高稳定、大功率、长寿命连续单色光照明，保证准确性和重复性。</w:t>
      </w:r>
      <w:r w:rsidRPr="00C439F1">
        <w:rPr>
          <w:rFonts w:ascii="微软雅黑" w:eastAsia="微软雅黑" w:hAnsi="微软雅黑" w:cs="宋体" w:hint="eastAsia"/>
          <w:color w:val="000000"/>
          <w:kern w:val="0"/>
          <w:szCs w:val="21"/>
        </w:rPr>
        <w:br/>
        <w:t>4）高稳定、长寿命连续白光偏置，保证准确性和重复性。</w:t>
      </w:r>
      <w:r w:rsidRPr="00C439F1">
        <w:rPr>
          <w:rFonts w:ascii="微软雅黑" w:eastAsia="微软雅黑" w:hAnsi="微软雅黑" w:cs="宋体" w:hint="eastAsia"/>
          <w:color w:val="000000"/>
          <w:kern w:val="0"/>
          <w:szCs w:val="21"/>
        </w:rPr>
        <w:br/>
        <w:t>5）分光系统，保证良好的波长准确度和重复性，消除多级谱的影响，杂散光小。</w:t>
      </w:r>
      <w:r w:rsidRPr="00C439F1">
        <w:rPr>
          <w:rFonts w:ascii="微软雅黑" w:eastAsia="微软雅黑" w:hAnsi="微软雅黑" w:cs="宋体" w:hint="eastAsia"/>
          <w:color w:val="000000"/>
          <w:kern w:val="0"/>
          <w:szCs w:val="21"/>
        </w:rPr>
        <w:br/>
        <w:t>6）样品室采用全反射式光路，避免透射元件的多重反射造成测试不准确。</w:t>
      </w:r>
      <w:r w:rsidRPr="00C439F1">
        <w:rPr>
          <w:rFonts w:ascii="微软雅黑" w:eastAsia="微软雅黑" w:hAnsi="微软雅黑" w:cs="宋体" w:hint="eastAsia"/>
          <w:color w:val="000000"/>
          <w:kern w:val="0"/>
          <w:szCs w:val="21"/>
        </w:rPr>
        <w:br/>
        <w:t>7）采用美国 Keithley数字表，保证信号测试准确性和高采集速度。</w:t>
      </w:r>
    </w:p>
    <w:p w:rsidR="00C439F1" w:rsidRPr="00C439F1" w:rsidRDefault="00C439F1" w:rsidP="00C439F1">
      <w:pPr>
        <w:widowControl/>
        <w:spacing w:after="240"/>
        <w:ind w:left="720"/>
        <w:jc w:val="left"/>
        <w:rPr>
          <w:rFonts w:ascii="Microsoft Yahei" w:eastAsia="宋体" w:hAnsi="Microsoft Yahei" w:cs="宋体"/>
          <w:color w:val="000000"/>
          <w:kern w:val="0"/>
          <w:sz w:val="18"/>
          <w:szCs w:val="18"/>
        </w:rPr>
      </w:pPr>
      <w:bookmarkStart w:id="1" w:name="two"/>
      <w:bookmarkEnd w:id="1"/>
      <w:r w:rsidRPr="00C439F1">
        <w:rPr>
          <w:rFonts w:ascii="微软雅黑" w:eastAsia="微软雅黑" w:hAnsi="微软雅黑" w:cs="宋体" w:hint="eastAsia"/>
          <w:b/>
          <w:bCs/>
          <w:color w:val="000000"/>
          <w:kern w:val="0"/>
        </w:rPr>
        <w:t>产品应用</w:t>
      </w:r>
      <w:r w:rsidRPr="00C439F1">
        <w:rPr>
          <w:rFonts w:ascii="微软雅黑" w:eastAsia="微软雅黑" w:hAnsi="微软雅黑" w:cs="宋体" w:hint="eastAsia"/>
          <w:color w:val="000000"/>
          <w:kern w:val="0"/>
          <w:szCs w:val="21"/>
        </w:rPr>
        <w:br/>
      </w:r>
      <w:r w:rsidRPr="00C439F1">
        <w:rPr>
          <w:rFonts w:ascii="微软雅黑" w:eastAsia="微软雅黑" w:hAnsi="微软雅黑" w:cs="宋体" w:hint="eastAsia"/>
          <w:b/>
          <w:bCs/>
          <w:color w:val="000000"/>
          <w:kern w:val="0"/>
          <w:szCs w:val="21"/>
        </w:rPr>
        <w:t>适用电池</w:t>
      </w:r>
      <w:r w:rsidRPr="00C439F1">
        <w:rPr>
          <w:rFonts w:ascii="微软雅黑" w:eastAsia="微软雅黑" w:hAnsi="微软雅黑" w:cs="宋体" w:hint="eastAsia"/>
          <w:color w:val="000000"/>
          <w:kern w:val="0"/>
          <w:szCs w:val="21"/>
        </w:rPr>
        <w:t>：染料敏化类太阳电池或其他可采用直流方法测试的单结太阳电池。</w:t>
      </w:r>
      <w:r w:rsidRPr="00C439F1">
        <w:rPr>
          <w:rFonts w:ascii="微软雅黑" w:eastAsia="微软雅黑" w:hAnsi="微软雅黑" w:cs="宋体" w:hint="eastAsia"/>
          <w:color w:val="000000"/>
          <w:kern w:val="0"/>
          <w:szCs w:val="21"/>
        </w:rPr>
        <w:br/>
      </w:r>
      <w:r w:rsidRPr="00C439F1">
        <w:rPr>
          <w:rFonts w:ascii="微软雅黑" w:eastAsia="微软雅黑" w:hAnsi="微软雅黑" w:cs="宋体" w:hint="eastAsia"/>
          <w:b/>
          <w:bCs/>
          <w:color w:val="000000"/>
          <w:kern w:val="0"/>
        </w:rPr>
        <w:t>测试数据</w:t>
      </w:r>
      <w:r w:rsidRPr="00C439F1">
        <w:rPr>
          <w:rFonts w:ascii="微软雅黑" w:eastAsia="微软雅黑" w:hAnsi="微软雅黑" w:cs="宋体" w:hint="eastAsia"/>
          <w:color w:val="000000"/>
          <w:kern w:val="0"/>
          <w:szCs w:val="21"/>
        </w:rPr>
        <w:t>：绝对光谱响应、量子效率或光电转化效率 IPCE 以及标准太阳 AM1.5G、短路电流密度</w:t>
      </w:r>
      <w:r w:rsidRPr="00C439F1">
        <w:rPr>
          <w:rFonts w:ascii="Microsoft Yahei" w:eastAsia="宋体" w:hAnsi="Microsoft Yahei" w:cs="宋体"/>
          <w:color w:val="000000"/>
          <w:kern w:val="0"/>
          <w:sz w:val="18"/>
          <w:szCs w:val="18"/>
        </w:rPr>
        <w:br/>
      </w:r>
    </w:p>
    <w:p w:rsidR="00C439F1" w:rsidRPr="00C439F1" w:rsidRDefault="00C439F1" w:rsidP="00C439F1">
      <w:pPr>
        <w:widowControl/>
        <w:ind w:left="720"/>
        <w:jc w:val="left"/>
        <w:rPr>
          <w:rFonts w:ascii="Microsoft Yahei" w:eastAsia="宋体" w:hAnsi="Microsoft Yahei" w:cs="宋体"/>
          <w:color w:val="000000"/>
          <w:kern w:val="0"/>
          <w:sz w:val="18"/>
          <w:szCs w:val="18"/>
        </w:rPr>
      </w:pPr>
      <w:bookmarkStart w:id="2" w:name="three"/>
      <w:bookmarkEnd w:id="2"/>
      <w:r w:rsidRPr="00C439F1">
        <w:rPr>
          <w:rFonts w:ascii="微软雅黑" w:eastAsia="微软雅黑" w:hAnsi="微软雅黑" w:cs="宋体" w:hint="eastAsia"/>
          <w:b/>
          <w:bCs/>
          <w:color w:val="000000"/>
          <w:kern w:val="0"/>
        </w:rPr>
        <w:t>详细介绍</w:t>
      </w:r>
      <w:r w:rsidRPr="00C439F1">
        <w:rPr>
          <w:rFonts w:ascii="微软雅黑" w:eastAsia="微软雅黑" w:hAnsi="微软雅黑" w:cs="宋体" w:hint="eastAsia"/>
          <w:color w:val="000000"/>
          <w:kern w:val="0"/>
          <w:szCs w:val="21"/>
        </w:rPr>
        <w:br/>
        <w:t>依据染料敏化电池工作基本原理，染料敏化电池需要经过一系列的氧化-还原反应才能实现将光转化为电。染料敏化电池中染料的氧化-还原反应是由一系列复杂的反应所构成，其氧化-还原速率直接影响该电池的稳定性、转换效率和响应速度。氧化-还原速率则受到染料种类、染料浓度、电解质种类、电解质离子扩散速度等多种因素的影响。一般情况下，形成稳定的转换体系所需要的时间在“秒”量级上，也就</w:t>
      </w:r>
      <w:r w:rsidRPr="00C439F1">
        <w:rPr>
          <w:rFonts w:ascii="微软雅黑" w:eastAsia="微软雅黑" w:hAnsi="微软雅黑" w:cs="宋体" w:hint="eastAsia"/>
          <w:color w:val="000000"/>
          <w:kern w:val="0"/>
          <w:szCs w:val="21"/>
        </w:rPr>
        <w:lastRenderedPageBreak/>
        <w:t>是说染敏类电池的响应速度是比较慢，如果采用调制的交流测试模式，频率需低到 1Hz 以下，实践中很难实现。因此，直流测试模式更适用于染料敏化电池的 IPCE 测试。</w:t>
      </w:r>
      <w:r w:rsidRPr="00C439F1">
        <w:rPr>
          <w:rFonts w:ascii="微软雅黑" w:eastAsia="微软雅黑" w:hAnsi="微软雅黑" w:cs="宋体" w:hint="eastAsia"/>
          <w:color w:val="000000"/>
          <w:kern w:val="0"/>
          <w:szCs w:val="21"/>
        </w:rPr>
        <w:br/>
        <w:t>IPCE 测试与 I-V 测试不同，是将单色光照射于电池表面，并且要准确的测试出该单色光的强度。因此在 IPCE 测试中，需要可以进行光强标定的标准器件，且要求单色光照射在标准器件和被测样品时的强度一致。因此在测试过程中，单色光的光斑，应同时小于标准器件和被测样品的有效区域，以保证测试结果的准确性。而染料敏化电池的结构特点又决定了只有处于光照下的区域才产生敏化反应，而导电带和电解液却是完全分布于整个电池的有效区域，因此会加大电子被复合的几率，从而导致电池表现为输出电流降低。</w:t>
      </w:r>
      <w:r w:rsidRPr="00C439F1">
        <w:rPr>
          <w:rFonts w:ascii="微软雅黑" w:eastAsia="微软雅黑" w:hAnsi="微软雅黑" w:cs="宋体" w:hint="eastAsia"/>
          <w:color w:val="000000"/>
          <w:kern w:val="0"/>
          <w:szCs w:val="21"/>
        </w:rPr>
        <w:br/>
        <w:t>为保证 IPCE 测试的准确性，应在测试过程中保证电池的全部有效区域处于工作状态，以减少“内耗”情况的发生，而最有效的办法就是在测量时给电池加上偏置光。参考相关国内外标准和测试经验，确定偏置光的强度在约 0.5 个 SUN（AM1.5）的水平最适合。</w:t>
      </w:r>
    </w:p>
    <w:p w:rsidR="00C439F1" w:rsidRPr="00C439F1" w:rsidRDefault="00C439F1" w:rsidP="00C439F1">
      <w:pPr>
        <w:widowControl/>
        <w:ind w:left="720"/>
        <w:jc w:val="left"/>
        <w:rPr>
          <w:rFonts w:ascii="Microsoft Yahei" w:eastAsia="宋体" w:hAnsi="Microsoft Yahei" w:cs="宋体"/>
          <w:color w:val="000000"/>
          <w:kern w:val="0"/>
          <w:sz w:val="18"/>
          <w:szCs w:val="18"/>
        </w:rPr>
      </w:pPr>
      <w:bookmarkStart w:id="3" w:name="four"/>
      <w:bookmarkEnd w:id="3"/>
      <w:r w:rsidRPr="00C439F1">
        <w:rPr>
          <w:rFonts w:ascii="微软雅黑" w:eastAsia="微软雅黑" w:hAnsi="微软雅黑" w:cs="宋体" w:hint="eastAsia"/>
          <w:b/>
          <w:bCs/>
          <w:color w:val="000000"/>
          <w:kern w:val="0"/>
        </w:rPr>
        <w:t>规格参数</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8"/>
        <w:gridCol w:w="5664"/>
      </w:tblGrid>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指标</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参数</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适用电池</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染料敏化类太阳电池或其他可采用直流方法测试的单结太阳电池</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控制模式</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软件控制、全自动扫描、自动消除误差、自动扣除背景</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光谱范围</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200-1100nm</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扫描间隔</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≥1nm连续可调</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光谱扫描</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全自动、连续</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lastRenderedPageBreak/>
              <w:t>测试结果重复性</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&lt;0.3%（短路电流）</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工作模式</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直流模式DC</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斩波频率</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5-1000Hz</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温控台：</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温控范围5-40℃（±0.5℃），选配</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偏置光源</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标配1路，进口白光/氙灯</w:t>
            </w:r>
          </w:p>
        </w:tc>
      </w:tr>
      <w:tr w:rsidR="00C439F1" w:rsidRPr="00C439F1" w:rsidTr="00C439F1">
        <w:tc>
          <w:tcPr>
            <w:tcW w:w="2115"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单色仪</w:t>
            </w:r>
          </w:p>
        </w:tc>
        <w:tc>
          <w:tcPr>
            <w:tcW w:w="6180" w:type="dxa"/>
            <w:tcBorders>
              <w:top w:val="outset" w:sz="6" w:space="0" w:color="auto"/>
              <w:left w:val="outset" w:sz="6" w:space="0" w:color="auto"/>
              <w:bottom w:val="outset" w:sz="6" w:space="0" w:color="auto"/>
              <w:right w:val="outset" w:sz="6" w:space="0" w:color="auto"/>
            </w:tcBorders>
            <w:vAlign w:val="center"/>
            <w:hideMark/>
          </w:tcPr>
          <w:p w:rsidR="00C439F1" w:rsidRPr="00C439F1" w:rsidRDefault="00C439F1" w:rsidP="00C439F1">
            <w:pPr>
              <w:widowControl/>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t>焦距300mm、150mm可选</w:t>
            </w:r>
          </w:p>
        </w:tc>
      </w:tr>
    </w:tbl>
    <w:p w:rsidR="00C439F1" w:rsidRDefault="00C439F1" w:rsidP="00C439F1">
      <w:pPr>
        <w:widowControl/>
        <w:ind w:left="720"/>
        <w:jc w:val="left"/>
        <w:rPr>
          <w:rFonts w:ascii="微软雅黑" w:eastAsia="微软雅黑" w:hAnsi="微软雅黑" w:cs="宋体" w:hint="eastAsia"/>
          <w:noProof/>
          <w:color w:val="000000"/>
          <w:kern w:val="0"/>
          <w:szCs w:val="21"/>
        </w:rPr>
      </w:pPr>
    </w:p>
    <w:p w:rsidR="00C439F1" w:rsidRDefault="00C439F1" w:rsidP="00C439F1">
      <w:pPr>
        <w:widowControl/>
        <w:ind w:left="720"/>
        <w:jc w:val="left"/>
        <w:rPr>
          <w:rFonts w:ascii="微软雅黑" w:eastAsia="微软雅黑" w:hAnsi="微软雅黑" w:cs="宋体" w:hint="eastAsia"/>
          <w:noProof/>
          <w:color w:val="000000"/>
          <w:kern w:val="0"/>
          <w:szCs w:val="21"/>
        </w:rPr>
      </w:pPr>
    </w:p>
    <w:p w:rsidR="00C439F1" w:rsidRDefault="00C439F1" w:rsidP="00C439F1">
      <w:pPr>
        <w:widowControl/>
        <w:ind w:left="720"/>
        <w:jc w:val="left"/>
        <w:rPr>
          <w:rFonts w:ascii="微软雅黑" w:eastAsia="微软雅黑" w:hAnsi="微软雅黑" w:cs="宋体" w:hint="eastAsia"/>
          <w:noProof/>
          <w:color w:val="000000"/>
          <w:kern w:val="0"/>
          <w:szCs w:val="21"/>
        </w:rPr>
      </w:pPr>
      <w:r w:rsidRPr="00C439F1">
        <w:rPr>
          <w:rFonts w:ascii="微软雅黑" w:eastAsia="微软雅黑" w:hAnsi="微软雅黑" w:cs="宋体"/>
          <w:noProof/>
          <w:color w:val="000000"/>
          <w:kern w:val="0"/>
          <w:szCs w:val="21"/>
        </w:rPr>
        <w:drawing>
          <wp:inline distT="0" distB="0" distL="0" distR="0">
            <wp:extent cx="5144689" cy="3533775"/>
            <wp:effectExtent l="19050" t="0" r="0" b="0"/>
            <wp:docPr id="4" name="图片 1" descr="http://test92.cindanet.com/uploadfile/2017/0612/2017061210211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12/20170612102114621.jpg"/>
                    <pic:cNvPicPr>
                      <a:picLocks noChangeAspect="1" noChangeArrowheads="1"/>
                    </pic:cNvPicPr>
                  </pic:nvPicPr>
                  <pic:blipFill>
                    <a:blip r:embed="rId6" cstate="print"/>
                    <a:srcRect/>
                    <a:stretch>
                      <a:fillRect/>
                    </a:stretch>
                  </pic:blipFill>
                  <pic:spPr bwMode="auto">
                    <a:xfrm>
                      <a:off x="0" y="0"/>
                      <a:ext cx="5148238" cy="3536213"/>
                    </a:xfrm>
                    <a:prstGeom prst="rect">
                      <a:avLst/>
                    </a:prstGeom>
                    <a:noFill/>
                    <a:ln w="9525">
                      <a:noFill/>
                      <a:miter lim="800000"/>
                      <a:headEnd/>
                      <a:tailEnd/>
                    </a:ln>
                  </pic:spPr>
                </pic:pic>
              </a:graphicData>
            </a:graphic>
          </wp:inline>
        </w:drawing>
      </w:r>
    </w:p>
    <w:p w:rsidR="00C439F1" w:rsidRPr="00C439F1" w:rsidRDefault="00C439F1" w:rsidP="00C439F1">
      <w:pPr>
        <w:widowControl/>
        <w:ind w:left="720"/>
        <w:jc w:val="left"/>
        <w:rPr>
          <w:rFonts w:ascii="Microsoft Yahei" w:eastAsia="宋体" w:hAnsi="Microsoft Yahei" w:cs="宋体"/>
          <w:color w:val="000000"/>
          <w:kern w:val="0"/>
          <w:sz w:val="18"/>
          <w:szCs w:val="18"/>
        </w:rPr>
      </w:pPr>
      <w:r w:rsidRPr="00C439F1">
        <w:rPr>
          <w:rFonts w:ascii="微软雅黑" w:eastAsia="微软雅黑" w:hAnsi="微软雅黑" w:cs="宋体" w:hint="eastAsia"/>
          <w:color w:val="000000"/>
          <w:kern w:val="0"/>
          <w:szCs w:val="21"/>
        </w:rPr>
        <w:br/>
      </w:r>
    </w:p>
    <w:p w:rsidR="00593ED4" w:rsidRDefault="00593ED4"/>
    <w:sectPr w:rsidR="00593ED4" w:rsidSect="009F73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BD6" w:rsidRDefault="001D2BD6" w:rsidP="00A914A5">
      <w:r>
        <w:separator/>
      </w:r>
    </w:p>
  </w:endnote>
  <w:endnote w:type="continuationSeparator" w:id="1">
    <w:p w:rsidR="001D2BD6" w:rsidRDefault="001D2BD6" w:rsidP="00A9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BD6" w:rsidRDefault="001D2BD6" w:rsidP="00A914A5">
      <w:r>
        <w:separator/>
      </w:r>
    </w:p>
  </w:footnote>
  <w:footnote w:type="continuationSeparator" w:id="1">
    <w:p w:rsidR="001D2BD6" w:rsidRDefault="001D2BD6" w:rsidP="00A91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A5"/>
    <w:rsid w:val="001D2BD6"/>
    <w:rsid w:val="00593ED4"/>
    <w:rsid w:val="009F7367"/>
    <w:rsid w:val="00A914A5"/>
    <w:rsid w:val="00B3051C"/>
    <w:rsid w:val="00C439F1"/>
    <w:rsid w:val="00DB3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4A5"/>
    <w:rPr>
      <w:sz w:val="18"/>
      <w:szCs w:val="18"/>
    </w:rPr>
  </w:style>
  <w:style w:type="paragraph" w:styleId="a4">
    <w:name w:val="footer"/>
    <w:basedOn w:val="a"/>
    <w:link w:val="Char0"/>
    <w:uiPriority w:val="99"/>
    <w:semiHidden/>
    <w:unhideWhenUsed/>
    <w:rsid w:val="00A91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4A5"/>
    <w:rPr>
      <w:sz w:val="18"/>
      <w:szCs w:val="18"/>
    </w:rPr>
  </w:style>
  <w:style w:type="character" w:styleId="a5">
    <w:name w:val="Strong"/>
    <w:basedOn w:val="a0"/>
    <w:uiPriority w:val="22"/>
    <w:qFormat/>
    <w:rsid w:val="00A914A5"/>
    <w:rPr>
      <w:b/>
      <w:bCs/>
    </w:rPr>
  </w:style>
  <w:style w:type="paragraph" w:styleId="a6">
    <w:name w:val="Balloon Text"/>
    <w:basedOn w:val="a"/>
    <w:link w:val="Char1"/>
    <w:uiPriority w:val="99"/>
    <w:semiHidden/>
    <w:unhideWhenUsed/>
    <w:rsid w:val="00A914A5"/>
    <w:rPr>
      <w:sz w:val="18"/>
      <w:szCs w:val="18"/>
    </w:rPr>
  </w:style>
  <w:style w:type="character" w:customStyle="1" w:styleId="Char1">
    <w:name w:val="批注框文本 Char"/>
    <w:basedOn w:val="a0"/>
    <w:link w:val="a6"/>
    <w:uiPriority w:val="99"/>
    <w:semiHidden/>
    <w:rsid w:val="00A914A5"/>
    <w:rPr>
      <w:sz w:val="18"/>
      <w:szCs w:val="18"/>
    </w:rPr>
  </w:style>
</w:styles>
</file>

<file path=word/webSettings.xml><?xml version="1.0" encoding="utf-8"?>
<w:webSettings xmlns:r="http://schemas.openxmlformats.org/officeDocument/2006/relationships" xmlns:w="http://schemas.openxmlformats.org/wordprocessingml/2006/main">
  <w:divs>
    <w:div w:id="308171096">
      <w:bodyDiv w:val="1"/>
      <w:marLeft w:val="0"/>
      <w:marRight w:val="0"/>
      <w:marTop w:val="0"/>
      <w:marBottom w:val="0"/>
      <w:divBdr>
        <w:top w:val="none" w:sz="0" w:space="0" w:color="auto"/>
        <w:left w:val="none" w:sz="0" w:space="0" w:color="auto"/>
        <w:bottom w:val="none" w:sz="0" w:space="0" w:color="auto"/>
        <w:right w:val="none" w:sz="0" w:space="0" w:color="auto"/>
      </w:divBdr>
      <w:divsChild>
        <w:div w:id="1351294048">
          <w:marLeft w:val="0"/>
          <w:marRight w:val="0"/>
          <w:marTop w:val="0"/>
          <w:marBottom w:val="0"/>
          <w:divBdr>
            <w:top w:val="none" w:sz="0" w:space="0" w:color="auto"/>
            <w:left w:val="none" w:sz="0" w:space="0" w:color="auto"/>
            <w:bottom w:val="none" w:sz="0" w:space="0" w:color="auto"/>
            <w:right w:val="none" w:sz="0" w:space="0" w:color="auto"/>
          </w:divBdr>
          <w:divsChild>
            <w:div w:id="473136142">
              <w:marLeft w:val="0"/>
              <w:marRight w:val="0"/>
              <w:marTop w:val="0"/>
              <w:marBottom w:val="0"/>
              <w:divBdr>
                <w:top w:val="none" w:sz="0" w:space="0" w:color="auto"/>
                <w:left w:val="none" w:sz="0" w:space="0" w:color="auto"/>
                <w:bottom w:val="none" w:sz="0" w:space="0" w:color="auto"/>
                <w:right w:val="none" w:sz="0" w:space="0" w:color="auto"/>
              </w:divBdr>
              <w:divsChild>
                <w:div w:id="1855148532">
                  <w:marLeft w:val="0"/>
                  <w:marRight w:val="0"/>
                  <w:marTop w:val="0"/>
                  <w:marBottom w:val="0"/>
                  <w:divBdr>
                    <w:top w:val="none" w:sz="0" w:space="0" w:color="auto"/>
                    <w:left w:val="none" w:sz="0" w:space="0" w:color="auto"/>
                    <w:bottom w:val="none" w:sz="0" w:space="0" w:color="auto"/>
                    <w:right w:val="none" w:sz="0" w:space="0" w:color="auto"/>
                  </w:divBdr>
                  <w:divsChild>
                    <w:div w:id="346639278">
                      <w:marLeft w:val="0"/>
                      <w:marRight w:val="0"/>
                      <w:marTop w:val="0"/>
                      <w:marBottom w:val="0"/>
                      <w:divBdr>
                        <w:top w:val="none" w:sz="0" w:space="0" w:color="auto"/>
                        <w:left w:val="none" w:sz="0" w:space="0" w:color="auto"/>
                        <w:bottom w:val="none" w:sz="0" w:space="0" w:color="auto"/>
                        <w:right w:val="none" w:sz="0" w:space="0" w:color="auto"/>
                      </w:divBdr>
                      <w:divsChild>
                        <w:div w:id="151724899">
                          <w:marLeft w:val="0"/>
                          <w:marRight w:val="0"/>
                          <w:marTop w:val="0"/>
                          <w:marBottom w:val="0"/>
                          <w:divBdr>
                            <w:top w:val="none" w:sz="0" w:space="0" w:color="auto"/>
                            <w:left w:val="none" w:sz="0" w:space="0" w:color="auto"/>
                            <w:bottom w:val="none" w:sz="0" w:space="0" w:color="auto"/>
                            <w:right w:val="none" w:sz="0" w:space="0" w:color="auto"/>
                          </w:divBdr>
                          <w:divsChild>
                            <w:div w:id="1931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991033">
      <w:bodyDiv w:val="1"/>
      <w:marLeft w:val="0"/>
      <w:marRight w:val="0"/>
      <w:marTop w:val="0"/>
      <w:marBottom w:val="0"/>
      <w:divBdr>
        <w:top w:val="none" w:sz="0" w:space="0" w:color="auto"/>
        <w:left w:val="none" w:sz="0" w:space="0" w:color="auto"/>
        <w:bottom w:val="none" w:sz="0" w:space="0" w:color="auto"/>
        <w:right w:val="none" w:sz="0" w:space="0" w:color="auto"/>
      </w:divBdr>
      <w:divsChild>
        <w:div w:id="2016686384">
          <w:marLeft w:val="0"/>
          <w:marRight w:val="0"/>
          <w:marTop w:val="0"/>
          <w:marBottom w:val="0"/>
          <w:divBdr>
            <w:top w:val="none" w:sz="0" w:space="0" w:color="auto"/>
            <w:left w:val="none" w:sz="0" w:space="0" w:color="auto"/>
            <w:bottom w:val="none" w:sz="0" w:space="0" w:color="auto"/>
            <w:right w:val="none" w:sz="0" w:space="0" w:color="auto"/>
          </w:divBdr>
          <w:divsChild>
            <w:div w:id="1249147919">
              <w:marLeft w:val="0"/>
              <w:marRight w:val="0"/>
              <w:marTop w:val="0"/>
              <w:marBottom w:val="0"/>
              <w:divBdr>
                <w:top w:val="none" w:sz="0" w:space="0" w:color="auto"/>
                <w:left w:val="none" w:sz="0" w:space="0" w:color="auto"/>
                <w:bottom w:val="none" w:sz="0" w:space="0" w:color="auto"/>
                <w:right w:val="none" w:sz="0" w:space="0" w:color="auto"/>
              </w:divBdr>
              <w:divsChild>
                <w:div w:id="1826896588">
                  <w:marLeft w:val="0"/>
                  <w:marRight w:val="0"/>
                  <w:marTop w:val="0"/>
                  <w:marBottom w:val="0"/>
                  <w:divBdr>
                    <w:top w:val="none" w:sz="0" w:space="0" w:color="auto"/>
                    <w:left w:val="none" w:sz="0" w:space="0" w:color="auto"/>
                    <w:bottom w:val="none" w:sz="0" w:space="0" w:color="auto"/>
                    <w:right w:val="none" w:sz="0" w:space="0" w:color="auto"/>
                  </w:divBdr>
                  <w:divsChild>
                    <w:div w:id="1884827387">
                      <w:marLeft w:val="0"/>
                      <w:marRight w:val="0"/>
                      <w:marTop w:val="0"/>
                      <w:marBottom w:val="0"/>
                      <w:divBdr>
                        <w:top w:val="none" w:sz="0" w:space="0" w:color="auto"/>
                        <w:left w:val="none" w:sz="0" w:space="0" w:color="auto"/>
                        <w:bottom w:val="none" w:sz="0" w:space="0" w:color="auto"/>
                        <w:right w:val="none" w:sz="0" w:space="0" w:color="auto"/>
                      </w:divBdr>
                      <w:divsChild>
                        <w:div w:id="768741437">
                          <w:marLeft w:val="0"/>
                          <w:marRight w:val="0"/>
                          <w:marTop w:val="0"/>
                          <w:marBottom w:val="0"/>
                          <w:divBdr>
                            <w:top w:val="none" w:sz="0" w:space="0" w:color="auto"/>
                            <w:left w:val="none" w:sz="0" w:space="0" w:color="auto"/>
                            <w:bottom w:val="none" w:sz="0" w:space="0" w:color="auto"/>
                            <w:right w:val="none" w:sz="0" w:space="0" w:color="auto"/>
                          </w:divBdr>
                          <w:divsChild>
                            <w:div w:id="907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2017-07-11T08:58:00Z</dcterms:created>
  <dcterms:modified xsi:type="dcterms:W3CDTF">2017-07-11T08:58:00Z</dcterms:modified>
</cp:coreProperties>
</file>