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default" w:eastAsia="Times New Roman"/>
          <w:b/>
          <w:sz w:val="52"/>
        </w:rPr>
      </w:pPr>
      <w:bookmarkStart w:id="0" w:name="OLE_LINK2"/>
      <w:r>
        <w:rPr>
          <w:rFonts w:ascii="宋体" w:hAnsi="宋体"/>
          <w:b/>
          <w:sz w:val="52"/>
        </w:rPr>
        <w:t>TUNICS T100S-HP</w:t>
      </w:r>
    </w:p>
    <w:bookmarkEnd w:id="0"/>
    <w:p>
      <w:pPr>
        <w:rPr>
          <w:rFonts w:hint="default" w:eastAsia="Times New Roman"/>
          <w:b/>
          <w:sz w:val="36"/>
        </w:rPr>
      </w:pPr>
      <w:bookmarkStart w:id="1" w:name="OLE_LINK3"/>
      <w:r>
        <w:rPr>
          <w:b/>
          <w:sz w:val="36"/>
        </w:rPr>
        <w:t>一、简介</w:t>
      </w:r>
    </w:p>
    <w:p>
      <w:pPr>
        <w:widowControl/>
        <w:autoSpaceDN w:val="0"/>
        <w:rPr>
          <w:rFonts w:ascii="Arial" w:hAnsi="宋体"/>
          <w:color w:val="333333"/>
          <w:sz w:val="18"/>
          <w:shd w:val="clear" w:color="auto" w:fill="FFFFFF"/>
        </w:rPr>
      </w:pPr>
      <w:r>
        <w:rPr>
          <w:rFonts w:ascii="宋体" w:hAnsi="宋体"/>
          <w:sz w:val="30"/>
        </w:rPr>
        <w:t>法国</w:t>
      </w:r>
      <w:bookmarkStart w:id="2" w:name="OLE_LINK1"/>
      <w:r>
        <w:rPr>
          <w:rFonts w:ascii="宋体" w:hAnsi="宋体"/>
          <w:sz w:val="30"/>
        </w:rPr>
        <w:t>Yenista</w:t>
      </w:r>
      <w:bookmarkEnd w:id="2"/>
      <w:r>
        <w:rPr>
          <w:rFonts w:ascii="宋体" w:hAnsi="宋体"/>
          <w:sz w:val="30"/>
        </w:rPr>
        <w:t>的高功率可调激光器Tunics T100S-HP是一款外腔激光器，有多个型号可选，波长范围覆盖1240-1680nm，最大输出光功率</w:t>
      </w:r>
      <w:r>
        <w:rPr>
          <w:sz w:val="30"/>
        </w:rPr>
        <w:t>≥</w:t>
      </w:r>
      <w:r>
        <w:rPr>
          <w:rFonts w:ascii="宋体" w:hAnsi="宋体"/>
          <w:sz w:val="30"/>
        </w:rPr>
        <w:t>13dBm，其中，O和C,L波段激光器的最小输出功率为10dBm，主要应用与电信领域。O+，ES，SCL和CLU波段激光器的最小输出功率为8dBm。O+，ES和CLU波段三款激光器，能够覆盖完整的电信波段（1240nm～1680nm），而且在整个波段，Tunics T100S-HP都有着极低的ASE噪声，SSSER典型值是100dB</w:t>
      </w:r>
      <w:r>
        <w:rPr>
          <w:rFonts w:ascii="Arial" w:hAnsi="宋体"/>
          <w:color w:val="333333"/>
          <w:sz w:val="18"/>
          <w:shd w:val="clear" w:color="auto" w:fill="FFFFFF"/>
        </w:rPr>
        <w:t>。</w:t>
      </w:r>
      <w:bookmarkEnd w:id="1"/>
    </w:p>
    <w:p>
      <w:pPr>
        <w:widowControl/>
        <w:autoSpaceDN w:val="0"/>
        <w:rPr>
          <w:rFonts w:hint="default" w:ascii="Arial" w:hAnsi="宋体"/>
          <w:color w:val="333333"/>
          <w:sz w:val="18"/>
          <w:shd w:val="clear" w:color="auto" w:fill="FFFFFF"/>
        </w:rPr>
      </w:pPr>
    </w:p>
    <w:p>
      <w:pPr>
        <w:widowControl/>
        <w:autoSpaceDN w:val="0"/>
        <w:jc w:val="center"/>
        <w:rPr>
          <w:rFonts w:hint="default" w:eastAsia="Times New Roman"/>
          <w:sz w:val="30"/>
        </w:rPr>
      </w:pPr>
      <w:r>
        <w:rPr>
          <w:rFonts w:hint="default" w:eastAsia="Times New Roman"/>
          <w:sz w:val="30"/>
        </w:rPr>
        <w:drawing>
          <wp:inline distT="0" distB="0" distL="114300" distR="114300">
            <wp:extent cx="3862705" cy="1776730"/>
            <wp:effectExtent l="0" t="0" r="444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2705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utoSpaceDN w:val="0"/>
        <w:jc w:val="center"/>
        <w:rPr>
          <w:rFonts w:hint="default" w:eastAsia="Times New Roman"/>
          <w:sz w:val="30"/>
        </w:rPr>
      </w:pPr>
    </w:p>
    <w:p>
      <w:pPr>
        <w:rPr>
          <w:rFonts w:hint="default" w:eastAsia="Times New Roman"/>
          <w:b/>
          <w:sz w:val="36"/>
        </w:rPr>
      </w:pPr>
      <w:r>
        <w:rPr>
          <w:b/>
          <w:sz w:val="36"/>
        </w:rPr>
        <w:t>二、特征</w:t>
      </w:r>
    </w:p>
    <w:p>
      <w:pPr>
        <w:numPr>
          <w:ilvl w:val="0"/>
          <w:numId w:val="1"/>
        </w:numPr>
        <w:rPr>
          <w:rFonts w:ascii="宋体" w:hAnsi="宋体"/>
          <w:b/>
          <w:color w:val="000000"/>
          <w:kern w:val="0"/>
          <w:sz w:val="32"/>
          <w:shd w:val="clear" w:color="auto" w:fill="F9F9F9"/>
        </w:rPr>
      </w:pPr>
      <w:r>
        <w:rPr>
          <w:rFonts w:ascii="宋体" w:hAnsi="宋体"/>
          <w:b/>
          <w:color w:val="000000"/>
          <w:kern w:val="0"/>
          <w:sz w:val="32"/>
          <w:shd w:val="clear" w:color="auto" w:fill="F9F9F9"/>
        </w:rPr>
        <w:t>功率</w:t>
      </w:r>
      <w:r>
        <w:rPr>
          <w:b/>
          <w:color w:val="000000"/>
          <w:kern w:val="0"/>
          <w:sz w:val="32"/>
          <w:shd w:val="clear" w:color="auto" w:fill="F9F9F9"/>
        </w:rPr>
        <w:t>≥</w:t>
      </w:r>
      <w:r>
        <w:rPr>
          <w:rFonts w:ascii="宋体" w:hAnsi="宋体"/>
          <w:b/>
          <w:color w:val="000000"/>
          <w:kern w:val="0"/>
          <w:sz w:val="32"/>
          <w:shd w:val="clear" w:color="auto" w:fill="F9F9F9"/>
        </w:rPr>
        <w:t xml:space="preserve"> 8dBm /  峰值</w:t>
      </w:r>
      <w:r>
        <w:rPr>
          <w:b/>
          <w:color w:val="000000"/>
          <w:kern w:val="0"/>
          <w:sz w:val="32"/>
          <w:shd w:val="clear" w:color="auto" w:fill="F9F9F9"/>
        </w:rPr>
        <w:t>≥</w:t>
      </w:r>
      <w:r>
        <w:rPr>
          <w:rFonts w:ascii="宋体" w:hAnsi="宋体"/>
          <w:b/>
          <w:color w:val="000000"/>
          <w:kern w:val="0"/>
          <w:sz w:val="32"/>
          <w:shd w:val="clear" w:color="auto" w:fill="F9F9F9"/>
        </w:rPr>
        <w:t xml:space="preserve"> 13dBm</w:t>
      </w:r>
    </w:p>
    <w:p>
      <w:pPr>
        <w:numPr>
          <w:ilvl w:val="0"/>
          <w:numId w:val="1"/>
        </w:numPr>
        <w:rPr>
          <w:b/>
          <w:color w:val="000000"/>
          <w:kern w:val="0"/>
          <w:sz w:val="32"/>
          <w:shd w:val="clear" w:color="auto" w:fill="F9F9F9"/>
        </w:rPr>
      </w:pPr>
      <w:r>
        <w:rPr>
          <w:rFonts w:ascii="宋体" w:hAnsi="宋体"/>
          <w:b/>
          <w:color w:val="000000"/>
          <w:kern w:val="0"/>
          <w:sz w:val="32"/>
          <w:shd w:val="clear" w:color="auto" w:fill="F9F9F9"/>
        </w:rPr>
        <w:t>100dB的动态范围</w:t>
      </w:r>
    </w:p>
    <w:p>
      <w:pPr>
        <w:numPr>
          <w:ilvl w:val="0"/>
          <w:numId w:val="1"/>
        </w:numPr>
        <w:rPr>
          <w:b/>
          <w:color w:val="000000"/>
          <w:kern w:val="0"/>
          <w:sz w:val="32"/>
          <w:shd w:val="clear" w:color="auto" w:fill="F9F9F9"/>
        </w:rPr>
      </w:pPr>
      <w:r>
        <w:rPr>
          <w:rFonts w:ascii="宋体" w:hAnsi="宋体"/>
          <w:b/>
          <w:color w:val="000000"/>
          <w:kern w:val="0"/>
          <w:sz w:val="32"/>
          <w:shd w:val="clear" w:color="auto" w:fill="F9F9F9"/>
        </w:rPr>
        <w:t>高达200nm的调制范围</w:t>
      </w:r>
    </w:p>
    <w:p>
      <w:pPr>
        <w:numPr>
          <w:ilvl w:val="0"/>
          <w:numId w:val="1"/>
        </w:numPr>
        <w:rPr>
          <w:rFonts w:ascii="宋体" w:hAnsi="宋体"/>
          <w:b/>
          <w:color w:val="000000"/>
          <w:kern w:val="0"/>
          <w:sz w:val="32"/>
          <w:shd w:val="clear" w:color="auto" w:fill="F9F9F9"/>
        </w:rPr>
      </w:pPr>
      <w:r>
        <w:rPr>
          <w:rFonts w:ascii="宋体" w:hAnsi="宋体"/>
          <w:b/>
          <w:color w:val="000000"/>
          <w:kern w:val="0"/>
          <w:sz w:val="32"/>
          <w:shd w:val="clear" w:color="auto" w:fill="F9F9F9"/>
        </w:rPr>
        <w:t>波长精度</w:t>
      </w:r>
      <w:r>
        <w:rPr>
          <w:b/>
          <w:color w:val="000000"/>
          <w:kern w:val="0"/>
          <w:sz w:val="32"/>
          <w:shd w:val="clear" w:color="auto" w:fill="F9F9F9"/>
        </w:rPr>
        <w:t>±</w:t>
      </w:r>
      <w:r>
        <w:rPr>
          <w:rFonts w:ascii="宋体" w:hAnsi="宋体"/>
          <w:b/>
          <w:color w:val="000000"/>
          <w:kern w:val="0"/>
          <w:sz w:val="32"/>
          <w:shd w:val="clear" w:color="auto" w:fill="F9F9F9"/>
        </w:rPr>
        <w:t>20pm</w:t>
      </w:r>
    </w:p>
    <w:p>
      <w:pPr>
        <w:numPr>
          <w:ilvl w:val="0"/>
          <w:numId w:val="1"/>
        </w:numPr>
        <w:rPr>
          <w:b/>
          <w:color w:val="000000"/>
          <w:kern w:val="0"/>
          <w:sz w:val="32"/>
          <w:shd w:val="clear" w:color="auto" w:fill="F9F9F9"/>
        </w:rPr>
      </w:pPr>
      <w:r>
        <w:rPr>
          <w:rFonts w:ascii="宋体" w:hAnsi="宋体"/>
          <w:b/>
          <w:color w:val="000000"/>
          <w:kern w:val="0"/>
          <w:sz w:val="32"/>
          <w:shd w:val="clear" w:color="auto" w:fill="F9F9F9"/>
        </w:rPr>
        <w:t>全面步进操作</w:t>
      </w:r>
    </w:p>
    <w:p>
      <w:pPr>
        <w:rPr>
          <w:rFonts w:hint="default" w:ascii="Arial Unicode MS" w:hAnsi="宋体" w:eastAsia="Times New Roman"/>
          <w:b/>
          <w:color w:val="000000"/>
          <w:sz w:val="24"/>
          <w:shd w:val="clear" w:color="auto" w:fill="F9F9F9"/>
        </w:rPr>
      </w:pPr>
      <w:bookmarkStart w:id="4" w:name="_GoBack"/>
      <w:bookmarkEnd w:id="4"/>
    </w:p>
    <w:p>
      <w:pPr>
        <w:rPr>
          <w:rFonts w:hint="default" w:ascii="Arial Unicode MS" w:hAnsi="宋体" w:eastAsia="Times New Roman"/>
          <w:b/>
          <w:color w:val="000000"/>
          <w:sz w:val="24"/>
          <w:shd w:val="clear" w:color="auto" w:fill="F9F9F9"/>
        </w:rPr>
      </w:pPr>
      <w:bookmarkStart w:id="3" w:name="OLE_LINK4"/>
      <w:r>
        <w:rPr>
          <w:b/>
          <w:sz w:val="36"/>
        </w:rPr>
        <w:t>三、</w:t>
      </w:r>
      <w:r>
        <w:rPr>
          <w:rFonts w:hint="default"/>
          <w:b/>
          <w:sz w:val="36"/>
        </w:rPr>
        <w:t>T100S-HP</w:t>
      </w:r>
      <w:r>
        <w:rPr>
          <w:b/>
          <w:sz w:val="36"/>
        </w:rPr>
        <w:t>技术规范</w:t>
      </w:r>
    </w:p>
    <w:bookmarkEnd w:id="3"/>
    <w:tbl>
      <w:tblPr>
        <w:tblStyle w:val="3"/>
        <w:tblW w:w="8394" w:type="dxa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50"/>
        <w:gridCol w:w="406"/>
        <w:gridCol w:w="1248"/>
        <w:gridCol w:w="1245"/>
        <w:gridCol w:w="1290"/>
        <w:gridCol w:w="1230"/>
        <w:gridCol w:w="1305"/>
        <w:gridCol w:w="1320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450" w:hRule="atLeast"/>
        </w:trPr>
        <w:tc>
          <w:tcPr>
            <w:tcW w:w="350" w:type="dxa"/>
            <w:tcBorders>
              <w:top w:val="single" w:color="000000" w:sz="8" w:space="0"/>
              <w:lef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kern w:val="0"/>
              </w:rPr>
            </w:pPr>
          </w:p>
        </w:tc>
        <w:tc>
          <w:tcPr>
            <w:tcW w:w="406" w:type="dxa"/>
            <w:tcBorders>
              <w:top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kern w:val="0"/>
              </w:rPr>
            </w:pPr>
          </w:p>
        </w:tc>
        <w:tc>
          <w:tcPr>
            <w:tcW w:w="249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基础型号</w:t>
            </w:r>
          </w:p>
        </w:tc>
        <w:tc>
          <w:tcPr>
            <w:tcW w:w="5145" w:type="dxa"/>
            <w:gridSpan w:val="4"/>
            <w:tcBorders>
              <w:top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扩展范围型号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600" w:hRule="atLeast"/>
        </w:trPr>
        <w:tc>
          <w:tcPr>
            <w:tcW w:w="350" w:type="dxa"/>
            <w:tcBorders>
              <w:lef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kern w:val="0"/>
              </w:rPr>
            </w:pPr>
          </w:p>
        </w:tc>
        <w:tc>
          <w:tcPr>
            <w:tcW w:w="4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kern w:val="0"/>
              </w:rPr>
            </w:pPr>
          </w:p>
        </w:tc>
        <w:tc>
          <w:tcPr>
            <w:tcW w:w="12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 xml:space="preserve">T100S-HP/O 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T100S-HP/CL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 xml:space="preserve">T100S-HP/O+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 xml:space="preserve">T100S-HP/ES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 xml:space="preserve">T100S-HP/SCL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T100S-HP/CLU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600" w:hRule="atLeast"/>
        </w:trPr>
        <w:tc>
          <w:tcPr>
            <w:tcW w:w="75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波长范围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1260 to 1360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1500 to 1630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1240 to 1380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1350 to 1510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1440 to 1640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1500 to 1680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85" w:hRule="atLeast"/>
        </w:trPr>
        <w:tc>
          <w:tcPr>
            <w:tcW w:w="350" w:type="dxa"/>
            <w:vMerge w:val="restart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输出功率</w:t>
            </w:r>
          </w:p>
        </w:tc>
        <w:tc>
          <w:tcPr>
            <w:tcW w:w="4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全波长范围</w:t>
            </w:r>
          </w:p>
        </w:tc>
        <w:tc>
          <w:tcPr>
            <w:tcW w:w="249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≥</w:t>
            </w:r>
            <w:r>
              <w:rPr>
                <w:rFonts w:ascii="宋体" w:hAnsi="宋体"/>
                <w:b/>
                <w:color w:val="000000"/>
                <w:kern w:val="0"/>
              </w:rPr>
              <w:t xml:space="preserve"> +10 dBm</w:t>
            </w:r>
          </w:p>
        </w:tc>
        <w:tc>
          <w:tcPr>
            <w:tcW w:w="51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≥ +8 dBm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85" w:hRule="atLeast"/>
        </w:trPr>
        <w:tc>
          <w:tcPr>
            <w:tcW w:w="350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kern w:val="0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峰值</w:t>
            </w:r>
          </w:p>
        </w:tc>
        <w:tc>
          <w:tcPr>
            <w:tcW w:w="7638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≥</w:t>
            </w:r>
            <w:r>
              <w:rPr>
                <w:rFonts w:ascii="宋体" w:hAnsi="宋体"/>
                <w:b/>
                <w:color w:val="000000"/>
                <w:kern w:val="0"/>
              </w:rPr>
              <w:t xml:space="preserve"> +13 dBm</w:t>
            </w:r>
          </w:p>
        </w:tc>
      </w:tr>
      <w:tr>
        <w:tblPrEx>
          <w:tblLayout w:type="fixed"/>
        </w:tblPrEx>
        <w:trPr>
          <w:cantSplit/>
          <w:trHeight w:val="285" w:hRule="atLeast"/>
        </w:trPr>
        <w:tc>
          <w:tcPr>
            <w:tcW w:w="75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</w:rPr>
              <w:t>信源自发辐射率</w:t>
            </w:r>
          </w:p>
        </w:tc>
        <w:tc>
          <w:tcPr>
            <w:tcW w:w="76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≥</w:t>
            </w:r>
            <w:r>
              <w:rPr>
                <w:rFonts w:ascii="宋体" w:hAnsi="宋体"/>
                <w:b/>
                <w:color w:val="000000"/>
                <w:kern w:val="0"/>
              </w:rPr>
              <w:t xml:space="preserve"> 90 dB (100 dB 典型值)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85" w:hRule="atLeast"/>
        </w:trPr>
        <w:tc>
          <w:tcPr>
            <w:tcW w:w="75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边模抑制比</w:t>
            </w:r>
          </w:p>
        </w:tc>
        <w:tc>
          <w:tcPr>
            <w:tcW w:w="76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≥</w:t>
            </w:r>
            <w:r>
              <w:rPr>
                <w:rFonts w:ascii="宋体" w:hAnsi="宋体"/>
                <w:b/>
                <w:color w:val="000000"/>
                <w:kern w:val="0"/>
              </w:rPr>
              <w:t>45 dB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85" w:hRule="atLeast"/>
        </w:trPr>
        <w:tc>
          <w:tcPr>
            <w:tcW w:w="35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稳定性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波长</w:t>
            </w:r>
          </w:p>
        </w:tc>
        <w:tc>
          <w:tcPr>
            <w:tcW w:w="76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±</w:t>
            </w:r>
            <w:r>
              <w:rPr>
                <w:rFonts w:ascii="宋体" w:hAnsi="宋体"/>
                <w:b/>
                <w:color w:val="000000"/>
                <w:kern w:val="0"/>
              </w:rPr>
              <w:t>5 pm/h (±3 pm/h ; ±5 pm/24h 典型值)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85" w:hRule="atLeast"/>
        </w:trPr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kern w:val="0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输出功率</w:t>
            </w:r>
          </w:p>
        </w:tc>
        <w:tc>
          <w:tcPr>
            <w:tcW w:w="7638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±</w:t>
            </w:r>
            <w:r>
              <w:rPr>
                <w:rFonts w:ascii="宋体" w:hAnsi="宋体"/>
                <w:b/>
                <w:color w:val="000000"/>
                <w:kern w:val="0"/>
              </w:rPr>
              <w:t>0.01 dB / h (±0.025 dB/24h 典型值)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85" w:hRule="atLeast"/>
        </w:trPr>
        <w:tc>
          <w:tcPr>
            <w:tcW w:w="756" w:type="dxa"/>
            <w:gridSpan w:val="2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 xml:space="preserve">相对强度噪声 </w:t>
            </w:r>
          </w:p>
        </w:tc>
        <w:tc>
          <w:tcPr>
            <w:tcW w:w="7638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kern w:val="0"/>
              </w:rPr>
            </w:pPr>
            <w:r>
              <w:rPr>
                <w:rFonts w:hint="default" w:ascii="宋体" w:hAnsi="宋体"/>
                <w:b/>
                <w:color w:val="000000"/>
                <w:kern w:val="0"/>
              </w:rPr>
              <w:t>–</w:t>
            </w:r>
            <w:r>
              <w:rPr>
                <w:rFonts w:ascii="宋体" w:hAnsi="宋体"/>
                <w:b/>
                <w:color w:val="000000"/>
                <w:kern w:val="0"/>
              </w:rPr>
              <w:t>145 dB/Hz 典型值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85" w:hRule="atLeast"/>
        </w:trPr>
        <w:tc>
          <w:tcPr>
            <w:tcW w:w="756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谱宽 (FWHM)</w:t>
            </w:r>
          </w:p>
        </w:tc>
        <w:tc>
          <w:tcPr>
            <w:tcW w:w="76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&gt;100 MHz (</w:t>
            </w:r>
            <w:r>
              <w:rPr>
                <w:rFonts w:hint="eastAsia" w:ascii="宋体" w:hAnsi="宋体"/>
                <w:b/>
                <w:color w:val="000000"/>
                <w:kern w:val="0"/>
                <w:lang w:eastAsia="zh-CN"/>
              </w:rPr>
              <w:t>相干</w:t>
            </w:r>
            <w:r>
              <w:rPr>
                <w:rFonts w:ascii="宋体" w:hAnsi="宋体"/>
                <w:b/>
                <w:color w:val="000000"/>
                <w:kern w:val="0"/>
              </w:rPr>
              <w:t>性控制开启)</w:t>
            </w:r>
          </w:p>
        </w:tc>
      </w:tr>
      <w:tr>
        <w:tblPrEx>
          <w:tblLayout w:type="fixed"/>
        </w:tblPrEx>
        <w:trPr>
          <w:cantSplit/>
          <w:trHeight w:val="285" w:hRule="atLeast"/>
        </w:trPr>
        <w:tc>
          <w:tcPr>
            <w:tcW w:w="756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kern w:val="0"/>
              </w:rPr>
            </w:pPr>
          </w:p>
        </w:tc>
        <w:tc>
          <w:tcPr>
            <w:tcW w:w="7638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400 kHz 典型值 (</w:t>
            </w:r>
            <w:r>
              <w:rPr>
                <w:rFonts w:hint="eastAsia" w:ascii="宋体" w:hAnsi="宋体"/>
                <w:b/>
                <w:color w:val="000000"/>
                <w:kern w:val="0"/>
                <w:lang w:eastAsia="zh-CN"/>
              </w:rPr>
              <w:t>相干</w:t>
            </w:r>
            <w:r>
              <w:rPr>
                <w:rFonts w:ascii="宋体" w:hAnsi="宋体"/>
                <w:b/>
                <w:color w:val="000000"/>
                <w:kern w:val="0"/>
              </w:rPr>
              <w:t>性控制关闭)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85" w:hRule="atLeast"/>
        </w:trPr>
        <w:tc>
          <w:tcPr>
            <w:tcW w:w="75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绝对波长精度</w:t>
            </w:r>
          </w:p>
        </w:tc>
        <w:tc>
          <w:tcPr>
            <w:tcW w:w="76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±</w:t>
            </w:r>
            <w:r>
              <w:rPr>
                <w:rFonts w:ascii="宋体" w:hAnsi="宋体"/>
                <w:b/>
                <w:color w:val="000000"/>
                <w:kern w:val="0"/>
              </w:rPr>
              <w:t>20 pm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85" w:hRule="atLeast"/>
        </w:trPr>
        <w:tc>
          <w:tcPr>
            <w:tcW w:w="75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波长设置重复性</w:t>
            </w:r>
          </w:p>
        </w:tc>
        <w:tc>
          <w:tcPr>
            <w:tcW w:w="76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 xml:space="preserve">5 pm </w:t>
            </w:r>
            <w:r>
              <w:rPr>
                <w:rFonts w:hint="eastAsia" w:ascii="宋体" w:hAnsi="宋体"/>
                <w:b/>
                <w:color w:val="000000"/>
                <w:kern w:val="0"/>
                <w:lang w:eastAsia="zh-CN"/>
              </w:rPr>
              <w:t>典型值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85" w:hRule="atLeast"/>
        </w:trPr>
        <w:tc>
          <w:tcPr>
            <w:tcW w:w="75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波长设置分辨率</w:t>
            </w:r>
          </w:p>
        </w:tc>
        <w:tc>
          <w:tcPr>
            <w:tcW w:w="76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1 pm (0.1 pm 在微调模式下)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85" w:hRule="atLeast"/>
        </w:trPr>
        <w:tc>
          <w:tcPr>
            <w:tcW w:w="75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微调模式范围</w:t>
            </w:r>
          </w:p>
        </w:tc>
        <w:tc>
          <w:tcPr>
            <w:tcW w:w="76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±</w:t>
            </w:r>
            <w:r>
              <w:rPr>
                <w:rFonts w:ascii="宋体" w:hAnsi="宋体"/>
                <w:b/>
                <w:color w:val="000000"/>
                <w:kern w:val="0"/>
              </w:rPr>
              <w:t>25 pm (±2 GHz)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85" w:hRule="atLeast"/>
        </w:trPr>
        <w:tc>
          <w:tcPr>
            <w:tcW w:w="75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lang w:eastAsia="zh-CN"/>
              </w:rPr>
              <w:t>步进模式中的</w:t>
            </w:r>
            <w:r>
              <w:rPr>
                <w:rFonts w:ascii="宋体" w:hAnsi="宋体"/>
                <w:b/>
                <w:color w:val="000000"/>
                <w:kern w:val="0"/>
              </w:rPr>
              <w:t>调谐速度</w:t>
            </w:r>
          </w:p>
        </w:tc>
        <w:tc>
          <w:tcPr>
            <w:tcW w:w="76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kern w:val="0"/>
              </w:rPr>
            </w:pPr>
            <w:r>
              <w:rPr>
                <w:rFonts w:hint="eastAsia"/>
                <w:b/>
                <w:color w:val="000000"/>
                <w:kern w:val="0"/>
              </w:rPr>
              <w:t>约 1s （针对 100 nm 步长）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85" w:hRule="atLeast"/>
        </w:trPr>
        <w:tc>
          <w:tcPr>
            <w:tcW w:w="75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无跳模范围</w:t>
            </w:r>
          </w:p>
        </w:tc>
        <w:tc>
          <w:tcPr>
            <w:tcW w:w="76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全波长范围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85" w:hRule="atLeast"/>
        </w:trPr>
        <w:tc>
          <w:tcPr>
            <w:tcW w:w="75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连续扫描速度</w:t>
            </w:r>
          </w:p>
        </w:tc>
        <w:tc>
          <w:tcPr>
            <w:tcW w:w="76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</w:rPr>
              <w:t>从 1 nm/s 到 100 nm/s 可调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85" w:hRule="atLeast"/>
        </w:trPr>
        <w:tc>
          <w:tcPr>
            <w:tcW w:w="75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扫描</w:t>
            </w:r>
            <w:r>
              <w:rPr>
                <w:rFonts w:hint="eastAsia" w:ascii="宋体" w:hAnsi="宋体"/>
                <w:b/>
                <w:color w:val="000000"/>
                <w:kern w:val="0"/>
                <w:lang w:eastAsia="zh-CN"/>
              </w:rPr>
              <w:t>期间的</w:t>
            </w:r>
            <w:r>
              <w:rPr>
                <w:rFonts w:ascii="宋体" w:hAnsi="宋体"/>
                <w:b/>
                <w:color w:val="000000"/>
                <w:kern w:val="0"/>
              </w:rPr>
              <w:t>功率平整度</w:t>
            </w:r>
          </w:p>
        </w:tc>
        <w:tc>
          <w:tcPr>
            <w:tcW w:w="76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±</w:t>
            </w:r>
            <w:r>
              <w:rPr>
                <w:rFonts w:ascii="宋体" w:hAnsi="宋体"/>
                <w:b/>
                <w:color w:val="000000"/>
                <w:kern w:val="0"/>
              </w:rPr>
              <w:t>0.25 dB 典型值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85" w:hRule="atLeast"/>
        </w:trPr>
        <w:tc>
          <w:tcPr>
            <w:tcW w:w="75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lang w:eastAsia="zh-CN"/>
              </w:rPr>
              <w:t>每次</w:t>
            </w:r>
            <w:r>
              <w:rPr>
                <w:rFonts w:ascii="宋体" w:hAnsi="宋体"/>
                <w:b/>
                <w:color w:val="000000"/>
                <w:kern w:val="0"/>
              </w:rPr>
              <w:t>扫描</w:t>
            </w:r>
            <w:r>
              <w:rPr>
                <w:rFonts w:hint="eastAsia" w:ascii="宋体" w:hAnsi="宋体"/>
                <w:b/>
                <w:color w:val="000000"/>
                <w:kern w:val="0"/>
                <w:lang w:eastAsia="zh-CN"/>
              </w:rPr>
              <w:t>的</w:t>
            </w:r>
            <w:r>
              <w:rPr>
                <w:rFonts w:ascii="宋体" w:hAnsi="宋体"/>
                <w:b/>
                <w:color w:val="000000"/>
                <w:kern w:val="0"/>
              </w:rPr>
              <w:t>功率重复性</w:t>
            </w:r>
          </w:p>
        </w:tc>
        <w:tc>
          <w:tcPr>
            <w:tcW w:w="76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±</w:t>
            </w:r>
            <w:r>
              <w:rPr>
                <w:rFonts w:ascii="宋体" w:hAnsi="宋体"/>
                <w:b/>
                <w:color w:val="000000"/>
                <w:kern w:val="0"/>
              </w:rPr>
              <w:t>0.05 dB 典型值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85" w:hRule="atLeast"/>
        </w:trPr>
        <w:tc>
          <w:tcPr>
            <w:tcW w:w="75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低频调制</w:t>
            </w:r>
          </w:p>
        </w:tc>
        <w:tc>
          <w:tcPr>
            <w:tcW w:w="76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</w:rPr>
              <w:t>直流至 8 MHz （正弦），直流至 1 MHz （TTL）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85" w:hRule="atLeast"/>
        </w:trPr>
        <w:tc>
          <w:tcPr>
            <w:tcW w:w="75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高频调制</w:t>
            </w:r>
          </w:p>
        </w:tc>
        <w:tc>
          <w:tcPr>
            <w:tcW w:w="76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 xml:space="preserve">30 kHz </w:t>
            </w:r>
            <w:r>
              <w:rPr>
                <w:rFonts w:hint="eastAsia" w:ascii="宋体" w:hAnsi="宋体"/>
                <w:b/>
                <w:color w:val="000000"/>
                <w:kern w:val="0"/>
                <w:lang w:eastAsia="zh-CN"/>
              </w:rPr>
              <w:t>至</w:t>
            </w:r>
            <w:r>
              <w:rPr>
                <w:rFonts w:ascii="宋体" w:hAnsi="宋体"/>
                <w:b/>
                <w:color w:val="000000"/>
                <w:kern w:val="0"/>
              </w:rPr>
              <w:t xml:space="preserve"> 200 MHz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85" w:hRule="atLeast"/>
        </w:trPr>
        <w:tc>
          <w:tcPr>
            <w:tcW w:w="75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输出光纤类型</w:t>
            </w:r>
          </w:p>
        </w:tc>
        <w:tc>
          <w:tcPr>
            <w:tcW w:w="76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 xml:space="preserve">SMF </w:t>
            </w:r>
            <w:r>
              <w:rPr>
                <w:rFonts w:hint="eastAsia" w:ascii="宋体" w:hAnsi="宋体"/>
                <w:b/>
                <w:color w:val="000000"/>
                <w:kern w:val="0"/>
                <w:lang w:eastAsia="zh-CN"/>
              </w:rPr>
              <w:t>或</w:t>
            </w:r>
            <w:r>
              <w:rPr>
                <w:rFonts w:ascii="宋体" w:hAnsi="宋体"/>
                <w:b/>
                <w:color w:val="000000"/>
                <w:kern w:val="0"/>
              </w:rPr>
              <w:t xml:space="preserve"> PMF (</w:t>
            </w:r>
            <w:r>
              <w:rPr>
                <w:rFonts w:hint="eastAsia" w:ascii="宋体" w:hAnsi="宋体"/>
                <w:b/>
                <w:color w:val="000000"/>
                <w:kern w:val="0"/>
                <w:lang w:eastAsia="zh-CN"/>
              </w:rPr>
              <w:t>选配</w:t>
            </w:r>
            <w:r>
              <w:rPr>
                <w:rFonts w:ascii="宋体" w:hAnsi="宋体"/>
                <w:b/>
                <w:color w:val="000000"/>
                <w:kern w:val="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85" w:hRule="atLeast"/>
        </w:trPr>
        <w:tc>
          <w:tcPr>
            <w:tcW w:w="75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输出接口</w:t>
            </w:r>
          </w:p>
        </w:tc>
        <w:tc>
          <w:tcPr>
            <w:tcW w:w="76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FC / APC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85" w:hRule="atLeast"/>
        </w:trPr>
        <w:tc>
          <w:tcPr>
            <w:tcW w:w="75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 xml:space="preserve">通信接口 </w:t>
            </w:r>
          </w:p>
        </w:tc>
        <w:tc>
          <w:tcPr>
            <w:tcW w:w="76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 xml:space="preserve">RS-232C </w:t>
            </w:r>
            <w:r>
              <w:rPr>
                <w:rFonts w:hint="eastAsia" w:ascii="宋体" w:hAnsi="宋体"/>
                <w:b/>
                <w:color w:val="000000"/>
                <w:kern w:val="0"/>
                <w:lang w:eastAsia="zh-CN"/>
              </w:rPr>
              <w:t>和</w:t>
            </w:r>
            <w:r>
              <w:rPr>
                <w:rFonts w:ascii="宋体" w:hAnsi="宋体"/>
                <w:b/>
                <w:color w:val="000000"/>
                <w:kern w:val="0"/>
              </w:rPr>
              <w:t xml:space="preserve">GPIB (IEEE-488.1 ) 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85" w:hRule="atLeast"/>
        </w:trPr>
        <w:tc>
          <w:tcPr>
            <w:tcW w:w="75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温度/湿度范围</w:t>
            </w:r>
          </w:p>
        </w:tc>
        <w:tc>
          <w:tcPr>
            <w:tcW w:w="76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+15 °C to +30 °C (+60 °F to +85 °F) / &lt;80% (non-condensing)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85" w:hRule="atLeast"/>
        </w:trPr>
        <w:tc>
          <w:tcPr>
            <w:tcW w:w="75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电源</w:t>
            </w:r>
          </w:p>
        </w:tc>
        <w:tc>
          <w:tcPr>
            <w:tcW w:w="76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 xml:space="preserve">100 to 240 V </w:t>
            </w:r>
            <w:r>
              <w:rPr>
                <w:rFonts w:hint="eastAsia" w:ascii="宋体" w:hAnsi="宋体"/>
                <w:b/>
                <w:color w:val="000000"/>
                <w:kern w:val="0"/>
                <w:lang w:eastAsia="zh-CN"/>
              </w:rPr>
              <w:t>交流</w:t>
            </w:r>
            <w:r>
              <w:rPr>
                <w:rFonts w:ascii="宋体" w:hAnsi="宋体"/>
                <w:b/>
                <w:color w:val="000000"/>
                <w:kern w:val="0"/>
              </w:rPr>
              <w:t>/ 50</w:t>
            </w:r>
            <w:r>
              <w:rPr>
                <w:rFonts w:hint="eastAsia" w:ascii="宋体" w:hAnsi="宋体"/>
                <w:b/>
                <w:color w:val="000000"/>
                <w:kern w:val="0"/>
                <w:lang w:eastAsia="zh-CN"/>
              </w:rPr>
              <w:t>至</w:t>
            </w:r>
            <w:r>
              <w:rPr>
                <w:rFonts w:ascii="宋体" w:hAnsi="宋体"/>
                <w:b/>
                <w:color w:val="000000"/>
                <w:kern w:val="0"/>
              </w:rPr>
              <w:t xml:space="preserve"> 60 Hz / 60 W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85" w:hRule="atLeast"/>
        </w:trPr>
        <w:tc>
          <w:tcPr>
            <w:tcW w:w="75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激光安全分类</w:t>
            </w:r>
          </w:p>
        </w:tc>
        <w:tc>
          <w:tcPr>
            <w:tcW w:w="76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1M</w:t>
            </w:r>
            <w:r>
              <w:rPr>
                <w:rFonts w:hint="eastAsia" w:ascii="宋体" w:hAnsi="宋体"/>
                <w:b/>
                <w:color w:val="000000"/>
                <w:kern w:val="0"/>
                <w:lang w:val="en-US" w:eastAsia="zh-CN"/>
              </w:rPr>
              <w:t xml:space="preserve"> 级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85" w:hRule="atLeast"/>
        </w:trPr>
        <w:tc>
          <w:tcPr>
            <w:tcW w:w="75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尺寸(W x D x H)</w:t>
            </w:r>
          </w:p>
        </w:tc>
        <w:tc>
          <w:tcPr>
            <w:tcW w:w="76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448 x 370 x 133 mm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85" w:hRule="atLeast"/>
        </w:trPr>
        <w:tc>
          <w:tcPr>
            <w:tcW w:w="75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重量</w:t>
            </w:r>
          </w:p>
        </w:tc>
        <w:tc>
          <w:tcPr>
            <w:tcW w:w="76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12.5 kg</w:t>
            </w:r>
          </w:p>
        </w:tc>
      </w:tr>
    </w:tbl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SegoeUI,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DFHeiW9-GB-EUC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uturaStd-Medium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uturaStd-Boo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E1E7C"/>
    <w:multiLevelType w:val="multilevel"/>
    <w:tmpl w:val="535E1E7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2865726"/>
    <w:rsid w:val="79E316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nhideWhenUsed/>
    <w:qFormat/>
    <w:uiPriority w:val="99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2017-05-24T09:22:00Z</dcterms:created>
  <dc:creator>user</dc:creator>
  <cp:lastModifiedBy>Administrator</cp:lastModifiedBy>
  <dcterms:modified xsi:type="dcterms:W3CDTF">2017-05-25T01:35:03Z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