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</w:pPr>
    </w:p>
    <w:p>
      <w:pPr>
        <w:pStyle w:val="7"/>
        <w:framePr w:w="0" w:hRule="auto" w:wrap="auto" w:vAnchor="margin" w:hAnchor="text" w:yAlign="inline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sz w:val="30"/>
          <w:szCs w:val="30"/>
          <w:lang w:val="zh-TW" w:eastAsia="zh-TW"/>
        </w:rPr>
        <w:t>高通量组织研磨仪针对中药药材DNA提取的研磨方法</w:t>
      </w:r>
    </w:p>
    <w:p>
      <w:pPr>
        <w:pStyle w:val="7"/>
        <w:framePr w:w="0" w:hRule="auto" w:wrap="auto" w:vAnchor="margin" w:hAnchor="text" w:yAlign="inline"/>
        <w:tabs>
          <w:tab w:val="left" w:pos="1618"/>
        </w:tabs>
        <w:jc w:val="center"/>
        <w:rPr>
          <w:b/>
          <w:bCs/>
          <w:kern w:val="2"/>
          <w:sz w:val="30"/>
          <w:szCs w:val="30"/>
        </w:rPr>
      </w:pPr>
    </w:p>
    <w:p>
      <w:pPr>
        <w:pStyle w:val="7"/>
        <w:framePr w:w="0" w:hRule="auto" w:wrap="auto" w:vAnchor="margin" w:hAnchor="text" w:yAlign="inline"/>
        <w:jc w:val="left"/>
        <w:rPr>
          <w:b/>
          <w:bCs/>
          <w:kern w:val="2"/>
          <w:sz w:val="26"/>
          <w:szCs w:val="26"/>
          <w:lang w:val="zh-TW" w:eastAsia="zh-TW"/>
        </w:rPr>
      </w:pPr>
      <w:bookmarkStart w:id="0" w:name="_GoBack"/>
      <w:r>
        <w:rPr>
          <w:b/>
          <w:bCs/>
          <w:kern w:val="2"/>
          <w:sz w:val="26"/>
          <w:szCs w:val="26"/>
          <w:lang w:val="zh-TW" w:eastAsia="zh-TW"/>
        </w:rPr>
        <w:t>实验目的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  <w:lang w:val="zh-TW" w:eastAsia="zh-TW"/>
        </w:rPr>
      </w:pPr>
      <w:r>
        <w:rPr>
          <w:kern w:val="2"/>
          <w:sz w:val="26"/>
          <w:szCs w:val="26"/>
          <w:lang w:val="zh-TW" w:eastAsia="zh-TW"/>
        </w:rPr>
        <w:t xml:space="preserve">       </w:t>
      </w:r>
      <w:r>
        <w:rPr>
          <w:sz w:val="26"/>
          <w:szCs w:val="26"/>
          <w:lang w:val="zh-TW" w:eastAsia="zh-TW"/>
        </w:rPr>
        <w:t>通过提取药材的DNA，进行DNA条形码分子对照，进而鉴定中药。</w:t>
      </w:r>
    </w:p>
    <w:p>
      <w:pPr>
        <w:pStyle w:val="7"/>
        <w:framePr w:w="0" w:hRule="auto" w:wrap="auto" w:vAnchor="margin" w:hAnchor="text" w:yAlign="inline"/>
        <w:jc w:val="left"/>
        <w:rPr>
          <w:kern w:val="2"/>
          <w:sz w:val="26"/>
          <w:szCs w:val="26"/>
          <w:lang w:val="zh-TW" w:eastAsia="zh-TW"/>
        </w:rPr>
      </w:pPr>
    </w:p>
    <w:p>
      <w:pPr>
        <w:pStyle w:val="7"/>
        <w:framePr w:w="0" w:hRule="auto" w:wrap="auto" w:vAnchor="margin" w:hAnchor="text" w:yAlign="inline"/>
        <w:jc w:val="left"/>
        <w:rPr>
          <w:b/>
          <w:bCs/>
          <w:kern w:val="2"/>
          <w:sz w:val="26"/>
          <w:szCs w:val="26"/>
          <w:lang w:val="zh-TW" w:eastAsia="zh-TW"/>
        </w:rPr>
      </w:pPr>
      <w:r>
        <w:rPr>
          <w:b/>
          <w:bCs/>
          <w:kern w:val="2"/>
          <w:sz w:val="26"/>
          <w:szCs w:val="26"/>
          <w:lang w:val="zh-TW" w:eastAsia="zh-TW"/>
        </w:rPr>
        <w:t>实验原理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</w:rPr>
      </w:pPr>
      <w:r>
        <w:rPr>
          <w:kern w:val="2"/>
          <w:sz w:val="26"/>
          <w:szCs w:val="26"/>
          <w:lang w:val="zh-TW" w:eastAsia="zh-TW"/>
        </w:rPr>
        <w:t xml:space="preserve">       </w:t>
      </w:r>
      <w:r>
        <w:rPr>
          <w:sz w:val="26"/>
          <w:szCs w:val="26"/>
          <w:lang w:val="zh-TW" w:eastAsia="zh-TW"/>
        </w:rPr>
        <w:t>通过对照药材自身独有的DNA条形码记录，可以准确鉴定出中药材品种。用DNA条形码分子法鉴定中药是药典中一项重要的鉴定方法。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  <w:lang w:val="zh-TW" w:eastAsia="zh-TW"/>
        </w:rPr>
      </w:pPr>
    </w:p>
    <w:p>
      <w:pPr>
        <w:pStyle w:val="7"/>
        <w:framePr w:w="0" w:hRule="auto" w:wrap="auto" w:vAnchor="margin" w:hAnchor="text" w:yAlign="inline"/>
        <w:jc w:val="left"/>
        <w:rPr>
          <w:b/>
          <w:bCs/>
          <w:sz w:val="26"/>
          <w:szCs w:val="26"/>
          <w:lang w:val="zh-TW" w:eastAsia="zh-TW"/>
        </w:rPr>
      </w:pPr>
      <w:r>
        <w:rPr>
          <w:b/>
          <w:bCs/>
          <w:sz w:val="26"/>
          <w:szCs w:val="26"/>
          <w:lang w:val="zh-TW" w:eastAsia="zh-TW"/>
        </w:rPr>
        <w:t>实验材料和器具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TW" w:eastAsia="zh-TW"/>
        </w:rPr>
        <w:t>样品：甘草，陈皮，阿胶饮片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TW" w:eastAsia="zh-TW"/>
        </w:rPr>
        <w:t>仪器：</w:t>
      </w:r>
      <w:r>
        <w:rPr>
          <w:sz w:val="26"/>
          <w:szCs w:val="26"/>
          <w:lang w:val="zh-CN" w:eastAsia="zh-CN"/>
        </w:rPr>
        <w:t>高通量</w:t>
      </w:r>
      <w:r>
        <w:rPr>
          <w:sz w:val="26"/>
          <w:szCs w:val="26"/>
          <w:lang w:val="zh-TW" w:eastAsia="zh-TW"/>
        </w:rPr>
        <w:t>组织研磨仪（上海净信，Tissuelyser-24）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</w:rPr>
      </w:pPr>
      <w:r>
        <w:rPr>
          <w:sz w:val="26"/>
          <w:szCs w:val="26"/>
          <w:lang w:val="zh-TW" w:eastAsia="zh-TW"/>
        </w:rPr>
        <w:t>耗材：不锈钢研磨罐（上海净信，10研磨单位），研磨珠（上海净信）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  <w:lang w:val="zh-TW" w:eastAsia="zh-TW"/>
        </w:rPr>
      </w:pPr>
    </w:p>
    <w:p>
      <w:pPr>
        <w:pStyle w:val="7"/>
        <w:framePr w:w="0" w:hRule="auto" w:wrap="auto" w:vAnchor="margin" w:hAnchor="text" w:yAlign="inline"/>
        <w:jc w:val="left"/>
        <w:rPr>
          <w:b/>
          <w:bCs/>
          <w:sz w:val="26"/>
          <w:szCs w:val="26"/>
          <w:lang w:val="zh-TW" w:eastAsia="zh-TW"/>
        </w:rPr>
      </w:pPr>
      <w:r>
        <w:rPr>
          <w:b/>
          <w:bCs/>
          <w:sz w:val="26"/>
          <w:szCs w:val="26"/>
          <w:lang w:val="zh-TW" w:eastAsia="zh-TW"/>
        </w:rPr>
        <w:t>实验步骤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TW" w:eastAsia="zh-TW"/>
        </w:rPr>
        <w:t>1.研磨样品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</w:rPr>
      </w:pPr>
      <w:r>
        <w:rPr>
          <w:sz w:val="26"/>
          <w:szCs w:val="26"/>
          <w:lang w:val="zh-TW" w:eastAsia="zh-TW"/>
        </w:rPr>
        <w:tab/>
      </w:r>
      <w:r>
        <w:rPr>
          <w:sz w:val="26"/>
          <w:szCs w:val="26"/>
          <w:lang w:val="zh-TW" w:eastAsia="zh-TW"/>
        </w:rPr>
        <w:t>1.1 分别称取甘草、陈皮和阿胶饮片各1个研磨单位；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TW" w:eastAsia="zh-TW"/>
        </w:rPr>
        <w:tab/>
      </w:r>
      <w:r>
        <w:rPr>
          <w:sz w:val="26"/>
          <w:szCs w:val="26"/>
          <w:lang w:val="zh-TW" w:eastAsia="zh-TW"/>
        </w:rPr>
        <w:t>1.2 将样品分别放入研磨罐中，加入研磨珠；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</w:rPr>
      </w:pPr>
      <w:r>
        <w:rPr>
          <w:sz w:val="26"/>
          <w:szCs w:val="26"/>
          <w:lang w:val="zh-TW" w:eastAsia="zh-TW"/>
        </w:rPr>
        <w:tab/>
      </w:r>
      <w:r>
        <w:rPr>
          <w:sz w:val="26"/>
          <w:szCs w:val="26"/>
          <w:lang w:val="zh-TW" w:eastAsia="zh-TW"/>
        </w:rPr>
        <w:t>1.3 将研磨罐放入净信研磨仪中，设置参数14单位振频，90s，启动仪器；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</w:rPr>
      </w:pPr>
      <w:r>
        <w:rPr>
          <w:sz w:val="26"/>
          <w:szCs w:val="26"/>
          <w:lang w:val="zh-TW" w:eastAsia="zh-TW"/>
        </w:rPr>
        <w:tab/>
      </w:r>
      <w:r>
        <w:rPr>
          <w:sz w:val="26"/>
          <w:szCs w:val="26"/>
          <w:lang w:val="zh-TW" w:eastAsia="zh-TW"/>
        </w:rPr>
        <w:t>1.4 得到完全破壁的药材碎粉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  <w:lang w:val="zh-TW" w:eastAsia="zh-TW"/>
        </w:rPr>
      </w:pPr>
    </w:p>
    <w:p>
      <w:pPr>
        <w:pStyle w:val="7"/>
        <w:framePr w:w="0" w:hRule="auto" w:wrap="auto" w:vAnchor="margin" w:hAnchor="text" w:yAlign="inline"/>
        <w:jc w:val="left"/>
        <w:rPr>
          <w:b/>
          <w:bCs/>
          <w:sz w:val="26"/>
          <w:szCs w:val="26"/>
          <w:lang w:val="zh-TW" w:eastAsia="zh-TW"/>
        </w:rPr>
      </w:pPr>
      <w:r>
        <w:rPr>
          <w:b/>
          <w:bCs/>
          <w:sz w:val="26"/>
          <w:szCs w:val="26"/>
          <w:lang w:val="zh-TW" w:eastAsia="zh-TW"/>
        </w:rPr>
        <w:t>注意事项</w:t>
      </w:r>
    </w:p>
    <w:p>
      <w:pPr>
        <w:pStyle w:val="7"/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TW" w:eastAsia="zh-TW"/>
        </w:rPr>
        <w:t>研磨罐和研磨珠需充分清洗干净并烘干备用；若需提取药材的RNA，则研磨罐和破碎珠要确保灭酶；</w:t>
      </w:r>
    </w:p>
    <w:p>
      <w:pPr>
        <w:pStyle w:val="7"/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TW" w:eastAsia="zh-TW"/>
        </w:rPr>
        <w:t>每个10研磨单位的研磨罐大约可研磨1个研磨单位药材量（具体根据样品本身的紧密度会有变动，一般样品体积不超过研磨罐容积的三分之二）；</w:t>
      </w:r>
    </w:p>
    <w:p>
      <w:pPr>
        <w:pStyle w:val="7"/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TW" w:eastAsia="zh-TW"/>
        </w:rPr>
        <w:t>如果放入的样品没有脱水或者是水分含量较大的药草类，需用液氮预冷，具体操作是：把装好样品和研磨珠的研磨罐浸入液氮中，直至液氮不沸腾，再迅速将研磨罐放入研磨仪中，设置参数13单位振频，30s启动研磨仪，就能得到较好的研磨效果。较坚硬的样品无需液氮冷冻，如阿胶、鹿茸等。</w:t>
      </w:r>
    </w:p>
    <w:p>
      <w:pPr>
        <w:pStyle w:val="7"/>
        <w:framePr w:w="0" w:hRule="auto" w:wrap="auto" w:vAnchor="margin" w:hAnchor="text" w:yAlign="inline"/>
        <w:jc w:val="left"/>
        <w:rPr>
          <w:sz w:val="26"/>
          <w:szCs w:val="26"/>
          <w:lang w:val="zh-TW" w:eastAsia="zh-TW"/>
        </w:rPr>
      </w:pPr>
    </w:p>
    <w:p>
      <w:pPr>
        <w:pStyle w:val="7"/>
        <w:framePr w:w="0" w:hRule="auto" w:wrap="auto" w:vAnchor="margin" w:hAnchor="text" w:yAlign="inline"/>
        <w:jc w:val="left"/>
        <w:rPr>
          <w:b/>
          <w:bCs/>
          <w:sz w:val="26"/>
          <w:szCs w:val="26"/>
          <w:lang w:val="zh-TW" w:eastAsia="zh-TW"/>
        </w:rPr>
      </w:pPr>
      <w:r>
        <w:rPr>
          <w:b/>
          <w:bCs/>
          <w:sz w:val="26"/>
          <w:szCs w:val="26"/>
          <w:lang w:val="zh-TW" w:eastAsia="zh-TW"/>
        </w:rPr>
        <w:t>研磨效果</w:t>
      </w:r>
    </w:p>
    <w:bookmarkEnd w:id="0"/>
    <w:p>
      <w:pPr>
        <w:pStyle w:val="7"/>
        <w:framePr w:w="0" w:hRule="auto" w:wrap="auto" w:vAnchor="margin" w:hAnchor="text" w:yAlign="inline"/>
        <w:jc w:val="left"/>
      </w:pPr>
      <w:r>
        <w:rPr>
          <w:b/>
          <w:bCs/>
          <w:sz w:val="26"/>
          <w:szCs w:val="26"/>
          <w:lang w:val="zh-CN" w:eastAsia="zh-CN"/>
        </w:rPr>
        <w:t>（</w:t>
      </w:r>
      <w:r>
        <w:rPr>
          <w:lang w:val="zh-CN" w:eastAsia="zh-CN"/>
        </w:rPr>
        <w:t>这里配上药材研磨的对比图）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5EC8"/>
    <w:multiLevelType w:val="multilevel"/>
    <w:tmpl w:val="57DE5EC8"/>
    <w:lvl w:ilvl="0" w:tentative="0">
      <w:start w:val="1"/>
      <w:numFmt w:val="decimal"/>
      <w:lvlText w:val="%1."/>
      <w:lvlJc w:val="left"/>
      <w:pPr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445C1E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2016-09-18T09:02:33Z</dcterms:created>
  <dc:creator>Administrator</dc:creator>
  <cp:lastModifiedBy>Administrator</cp:lastModifiedBy>
  <dcterms:modified xsi:type="dcterms:W3CDTF">2016-09-18T09:38:22Z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