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Cs w:val="24"/>
        </w:rPr>
      </w:pPr>
      <w:r>
        <w:rPr>
          <w:rStyle w:val="4"/>
          <w:rFonts w:hint="eastAsia" w:ascii="宋体" w:hAnsi="宋体" w:cs="宋体"/>
          <w:b/>
          <w:sz w:val="28"/>
        </w:rPr>
        <w:t>腔倒空飞秒振荡器Cascade</w:t>
      </w:r>
    </w:p>
    <w:p>
      <w:pPr>
        <w:ind w:firstLine="420" w:firstLineChars="200"/>
        <w:jc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drawing>
          <wp:inline distT="0" distB="0" distL="114300" distR="114300">
            <wp:extent cx="3599815" cy="2149475"/>
            <wp:effectExtent l="0" t="0" r="635" b="3175"/>
            <wp:docPr id="1" name="图片 1" descr="Cas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ca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Cascade系列超快振荡器的特点</w:t>
      </w:r>
      <w:r>
        <w:rPr>
          <w:rFonts w:hint="eastAsia" w:ascii="宋体" w:hAnsi="宋体" w:cs="宋体"/>
          <w:kern w:val="0"/>
          <w:szCs w:val="21"/>
        </w:rPr>
        <w:t>：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·Sub－15fs的脉宽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·标准的倒空频率：40kHz，80kHz，200kHz，400kHz，800kHz，2MHz，4MHz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·可选的倒空频率：1kHz，2kHz，5kHz，10kHz，20kHz，50kHz，100kHz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·锁模模式下的重复频率：80.5MHz（无倒空输出）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·中心波长770nm－810nm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·腔倒空时单脉冲能量&gt;30nJ，锁模时单脉冲能量&gt;3nJ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b/>
          <w:bCs/>
          <w:color w:val="0000FF"/>
          <w:kern w:val="0"/>
          <w:szCs w:val="21"/>
          <w:lang w:eastAsia="zh-CN"/>
        </w:rPr>
        <w:t>应用</w:t>
      </w: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：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超快成像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谐波产生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白光产生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纳米手术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泵浦探针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光谱学</w:t>
      </w:r>
    </w:p>
    <w:p>
      <w:pPr>
        <w:ind w:firstLine="420" w:firstLineChars="200"/>
        <w:rPr>
          <w:rFonts w:hint="eastAsia" w:ascii="Calibri" w:hAnsi="Calibri" w:cs="Calibri"/>
          <w:kern w:val="0"/>
          <w:szCs w:val="21"/>
        </w:rPr>
      </w:pPr>
    </w:p>
    <w:tbl>
      <w:tblPr>
        <w:tblStyle w:val="5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3221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型号</w:t>
            </w:r>
          </w:p>
        </w:tc>
        <w:tc>
          <w:tcPr>
            <w:tcW w:w="322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Cascade-5</w:t>
            </w:r>
          </w:p>
        </w:tc>
        <w:tc>
          <w:tcPr>
            <w:tcW w:w="322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Cascade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脉宽</w:t>
            </w:r>
          </w:p>
        </w:tc>
        <w:tc>
          <w:tcPr>
            <w:tcW w:w="64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Sub-15fs（中心波长780-810nm）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中心波长</w:t>
            </w:r>
          </w:p>
        </w:tc>
        <w:tc>
          <w:tcPr>
            <w:tcW w:w="64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770-810nm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800nm处带宽</w:t>
            </w:r>
          </w:p>
        </w:tc>
        <w:tc>
          <w:tcPr>
            <w:tcW w:w="64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&gt;65nm FWHM，&gt;90nm FWHM（典型）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70nm FWHM时平均功率及能量</w:t>
            </w:r>
          </w:p>
        </w:tc>
        <w:tc>
          <w:tcPr>
            <w:tcW w:w="64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350mW，4.3nJ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重复频率</w:t>
            </w:r>
          </w:p>
        </w:tc>
        <w:tc>
          <w:tcPr>
            <w:tcW w:w="64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80.5MHz（无倒空输出）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泵浦激光器</w:t>
            </w:r>
          </w:p>
        </w:tc>
        <w:tc>
          <w:tcPr>
            <w:tcW w:w="322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包含5W泵浦源</w:t>
            </w:r>
          </w:p>
        </w:tc>
        <w:tc>
          <w:tcPr>
            <w:tcW w:w="322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不包含泵浦源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标准频率</w:t>
            </w:r>
          </w:p>
        </w:tc>
        <w:tc>
          <w:tcPr>
            <w:tcW w:w="64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40kHz，80kHz，200kHz，400kHz，800kHz，2MHz，4MHz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可选频率</w:t>
            </w:r>
          </w:p>
        </w:tc>
        <w:tc>
          <w:tcPr>
            <w:tcW w:w="64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1kHz，2kHz，5kHz，10kHz，20kHz，50kHz，100kHz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倒空能量</w:t>
            </w:r>
          </w:p>
        </w:tc>
        <w:tc>
          <w:tcPr>
            <w:tcW w:w="64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&gt;30nJ</w:t>
            </w:r>
          </w:p>
        </w:tc>
      </w:tr>
    </w:tbl>
    <w:p>
      <w:pPr>
        <w:rPr>
          <w:rFonts w:hint="eastAsia" w:ascii="Calibri" w:hAnsi="Calibri" w:cs="Calibri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30D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2016-11-07T08:24:08Z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