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69" w:rightChars="-271"/>
        <w:jc w:val="center"/>
      </w:pPr>
    </w:p>
    <w:p>
      <w:pPr>
        <w:ind w:right="-569" w:rightChars="-271"/>
        <w:jc w:val="center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eastAsia="zh-CN"/>
        </w:rPr>
        <w:drawing>
          <wp:inline distT="0" distB="0" distL="114300" distR="114300">
            <wp:extent cx="4726305" cy="2658745"/>
            <wp:effectExtent l="0" t="0" r="10795" b="8255"/>
            <wp:docPr id="1" name="图片 1" descr="微波热裂解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波热裂解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26305" cy="2658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-569" w:rightChars="-271"/>
        <w:jc w:val="center"/>
        <w:rPr>
          <w:rFonts w:hint="eastAsia" w:ascii="仿宋" w:hAnsi="仿宋" w:eastAsia="仿宋" w:cs="仿宋"/>
        </w:rPr>
      </w:pPr>
      <w:bookmarkStart w:id="0" w:name="_GoBack"/>
      <w:bookmarkEnd w:id="0"/>
    </w:p>
    <w:p>
      <w:pPr>
        <w:ind w:right="-569" w:rightChars="-271"/>
        <w:jc w:val="center"/>
        <w:rPr>
          <w:rFonts w:hint="eastAsia" w:ascii="仿宋" w:hAnsi="仿宋" w:eastAsia="仿宋" w:cs="仿宋"/>
        </w:rPr>
      </w:pPr>
    </w:p>
    <w:p>
      <w:pPr>
        <w:spacing w:line="480" w:lineRule="exact"/>
        <w:jc w:val="both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 xml:space="preserve">               微波热裂解反应器</w:t>
      </w:r>
    </w:p>
    <w:p>
      <w:pPr>
        <w:pStyle w:val="6"/>
        <w:keepNext w:val="0"/>
        <w:keepLines w:val="0"/>
        <w:widowControl/>
        <w:suppressLineNumbers w:val="0"/>
        <w:spacing w:line="360" w:lineRule="auto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 xml:space="preserve">    南京先欧公司生产的微波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热解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反应器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是指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物料在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在无氧或缺氧气氛条件下</w:t>
      </w: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利用微波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电磁场中由介质损耗引起的体积加热，是吸热与放热反应交错的复杂热化学反应过程，最后生成气、液、固三相成分。微波能量整体穿透有机物，迅速传至反应物的官能团上，在电磁场作用下，分子运动由原来杂乱无章的状态变成有序的高频振动，分子动能转变成热能，达到快速均匀加热的目的，传统热解方法热量传递从物料表面传入内部，气相产物则从内向外扩散，其传热传质方向相反，易引起产物的二次裂解，且加热速率低，均匀性差</w:t>
      </w: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因此微波加热又称为无温度梯度的“体积加热”，它作为一种独特的加热方式，用于有机质的热解，具有明显的优越性。</w:t>
      </w:r>
    </w:p>
    <w:p>
      <w:pPr>
        <w:pStyle w:val="6"/>
        <w:keepNext w:val="0"/>
        <w:keepLines w:val="0"/>
        <w:widowControl/>
        <w:suppressLineNumbers w:val="0"/>
        <w:spacing w:line="360" w:lineRule="auto"/>
        <w:rPr>
          <w:rFonts w:hint="eastAsia" w:ascii="仿宋" w:hAnsi="仿宋" w:eastAsia="仿宋" w:cs="仿宋"/>
          <w:color w:val="000000"/>
          <w:sz w:val="16"/>
          <w:szCs w:val="16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 xml:space="preserve"> 微波热裂解反应器</w:t>
      </w:r>
      <w:r>
        <w:rPr>
          <w:rFonts w:hint="eastAsia" w:ascii="仿宋" w:hAnsi="仿宋" w:eastAsia="仿宋" w:cs="仿宋"/>
          <w:sz w:val="21"/>
          <w:szCs w:val="21"/>
        </w:rPr>
        <w:t>主要由微波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热裂解</w:t>
      </w:r>
      <w:r>
        <w:rPr>
          <w:rFonts w:hint="eastAsia" w:ascii="仿宋" w:hAnsi="仿宋" w:eastAsia="仿宋" w:cs="仿宋"/>
          <w:sz w:val="21"/>
          <w:szCs w:val="21"/>
        </w:rPr>
        <w:t>主机、微电脑触摸屏智能控制系统、高精度红外温度传感器、制冷循环机（选配），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石英玻璃热裂解反应瓶、通气装置</w:t>
      </w:r>
      <w:r>
        <w:rPr>
          <w:rFonts w:hint="eastAsia" w:ascii="仿宋" w:hAnsi="仿宋" w:eastAsia="仿宋" w:cs="仿宋"/>
          <w:sz w:val="21"/>
          <w:szCs w:val="21"/>
        </w:rPr>
        <w:t>和回流冷凝装置为一体的系统等组成。为方便存储和比较不同的反应环境，程序可编入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5</w:t>
      </w:r>
      <w:r>
        <w:rPr>
          <w:rFonts w:hint="eastAsia" w:ascii="仿宋" w:hAnsi="仿宋" w:eastAsia="仿宋" w:cs="仿宋"/>
          <w:sz w:val="21"/>
          <w:szCs w:val="21"/>
        </w:rPr>
        <w:t>套反应程序，设定反应参数，反应过程中，既可观察反应参数的变化，又可实时显示反应物温度随时间变化，并通过彩色液晶显示器实时观察整个反应过程。仪器采用大容量不锈钢腔体以防止磁性材料进入腔体，耐腐蚀。先进的红外温度传感器，对反应温度进行实时精确监测；采用独创的电脑自学习技术又称温度自动变频控制技术，控温精度达±1℃，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先欧公司专利技术可</w:t>
      </w:r>
      <w:r>
        <w:rPr>
          <w:rFonts w:hint="eastAsia" w:ascii="仿宋" w:hAnsi="仿宋" w:eastAsia="仿宋" w:cs="仿宋"/>
          <w:sz w:val="21"/>
          <w:szCs w:val="21"/>
        </w:rPr>
        <w:t>实现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连续微波与</w:t>
      </w:r>
      <w:r>
        <w:rPr>
          <w:rFonts w:hint="eastAsia" w:ascii="仿宋" w:hAnsi="仿宋" w:eastAsia="仿宋" w:cs="仿宋"/>
          <w:sz w:val="21"/>
          <w:szCs w:val="21"/>
        </w:rPr>
        <w:t>脉冲式微波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双重方式组合</w:t>
      </w:r>
      <w:r>
        <w:rPr>
          <w:rFonts w:hint="eastAsia" w:ascii="仿宋" w:hAnsi="仿宋" w:eastAsia="仿宋" w:cs="仿宋"/>
          <w:sz w:val="21"/>
          <w:szCs w:val="21"/>
        </w:rPr>
        <w:t>发射，温度控制稳定性属国际先进水平，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反应瓶采用纯石英反应瓶，不会影响和遮挡红外传感器对样品的测温，</w:t>
      </w:r>
      <w:r>
        <w:rPr>
          <w:rFonts w:hint="eastAsia" w:ascii="仿宋" w:hAnsi="仿宋" w:eastAsia="仿宋" w:cs="仿宋"/>
          <w:sz w:val="21"/>
          <w:szCs w:val="21"/>
        </w:rPr>
        <w:t>视频观察显示器，实时观察反应过程和变化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，</w:t>
      </w:r>
      <w:r>
        <w:rPr>
          <w:rFonts w:hint="eastAsia" w:ascii="仿宋" w:hAnsi="仿宋" w:eastAsia="仿宋" w:cs="仿宋"/>
          <w:sz w:val="21"/>
          <w:szCs w:val="21"/>
        </w:rPr>
        <w:t>PLC触摸屏显示和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多段程序</w:t>
      </w:r>
      <w:r>
        <w:rPr>
          <w:rFonts w:hint="eastAsia" w:ascii="仿宋" w:hAnsi="仿宋" w:eastAsia="仿宋" w:cs="仿宋"/>
          <w:sz w:val="21"/>
          <w:szCs w:val="21"/>
        </w:rPr>
        <w:t>控制。</w:t>
      </w:r>
      <w:r>
        <w:rPr>
          <w:rFonts w:hint="eastAsia" w:ascii="仿宋" w:hAnsi="仿宋" w:eastAsia="仿宋" w:cs="仿宋"/>
          <w:color w:val="000000"/>
          <w:sz w:val="16"/>
          <w:szCs w:val="16"/>
        </w:rPr>
        <w:t>   </w:t>
      </w:r>
      <w:r>
        <w:rPr>
          <w:rFonts w:hint="eastAsia" w:ascii="仿宋" w:hAnsi="仿宋" w:eastAsia="仿宋" w:cs="仿宋"/>
          <w:color w:val="000000"/>
          <w:sz w:val="16"/>
          <w:szCs w:val="16"/>
          <w:lang w:val="en-US" w:eastAsia="zh-CN"/>
        </w:rPr>
        <w:t xml:space="preserve">    </w:t>
      </w:r>
    </w:p>
    <w:p>
      <w:pPr>
        <w:pStyle w:val="6"/>
        <w:keepNext w:val="0"/>
        <w:keepLines w:val="0"/>
        <w:widowControl/>
        <w:suppressLineNumbers w:val="0"/>
        <w:spacing w:line="360" w:lineRule="auto"/>
        <w:rPr>
          <w:rFonts w:hint="eastAsia" w:ascii="仿宋" w:hAnsi="仿宋" w:eastAsia="仿宋" w:cs="仿宋"/>
          <w:b/>
          <w:bCs/>
          <w:sz w:val="22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16"/>
          <w:szCs w:val="16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2"/>
          <w:szCs w:val="2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2"/>
          <w:szCs w:val="22"/>
        </w:rPr>
        <w:t>用途：适用于农作物秸杆、薪柴、农林废弃物、水生植物等生物质热解制取燃料或化工原料，也可用于煤、油页岩、含油污泥及城市垃圾等固体物料的热解， 为高等院校、研究院所开展中试规模的微波热解研究和企业生产之理想设备。</w:t>
      </w:r>
    </w:p>
    <w:p>
      <w:pPr>
        <w:rPr>
          <w:rFonts w:hint="eastAsia" w:ascii="仿宋" w:hAnsi="仿宋" w:eastAsia="仿宋" w:cs="仿宋"/>
          <w:b/>
          <w:bCs/>
          <w:sz w:val="22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2"/>
          <w:szCs w:val="28"/>
          <w:lang w:val="en-US" w:eastAsia="zh-CN"/>
        </w:rPr>
        <w:t>选型表：</w:t>
      </w:r>
    </w:p>
    <w:p>
      <w:pPr>
        <w:rPr>
          <w:rFonts w:hint="eastAsia" w:ascii="仿宋" w:hAnsi="仿宋" w:eastAsia="仿宋" w:cs="仿宋"/>
          <w:sz w:val="18"/>
          <w:szCs w:val="18"/>
        </w:rPr>
      </w:pPr>
    </w:p>
    <w:tbl>
      <w:tblPr>
        <w:tblStyle w:val="17"/>
        <w:tblW w:w="7137" w:type="dxa"/>
        <w:tblCellSpacing w:w="0" w:type="dxa"/>
        <w:tblInd w:w="-15" w:type="dxa"/>
        <w:tblBorders>
          <w:top w:val="outset" w:color="CCCCCC" w:sz="6" w:space="0"/>
          <w:left w:val="outset" w:color="CCCCCC" w:sz="6" w:space="0"/>
          <w:bottom w:val="outset" w:color="CCCCCC" w:sz="6" w:space="0"/>
          <w:right w:val="outset" w:color="CCCCCC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4"/>
        <w:gridCol w:w="1681"/>
        <w:gridCol w:w="1775"/>
        <w:gridCol w:w="2087"/>
      </w:tblGrid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tblCellSpacing w:w="0" w:type="dxa"/>
        </w:trPr>
        <w:tc>
          <w:tcPr>
            <w:tcW w:w="1594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vAlign w:val="top"/>
          </w:tcPr>
          <w:p>
            <w:pPr>
              <w:widowControl/>
              <w:spacing w:before="100" w:beforeLines="0" w:beforeAutospacing="1" w:after="100" w:afterLines="0" w:afterAutospacing="1" w:line="360" w:lineRule="auto"/>
              <w:jc w:val="both"/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型 号</w:t>
            </w:r>
          </w:p>
        </w:tc>
        <w:tc>
          <w:tcPr>
            <w:tcW w:w="1681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vAlign w:val="top"/>
          </w:tcPr>
          <w:p>
            <w:pPr>
              <w:widowControl/>
              <w:spacing w:before="100" w:beforeLines="0" w:beforeAutospacing="1" w:after="100" w:afterLines="0" w:afterAutospacing="1"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微波功率</w:t>
            </w:r>
          </w:p>
        </w:tc>
        <w:tc>
          <w:tcPr>
            <w:tcW w:w="1775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vAlign w:val="top"/>
          </w:tcPr>
          <w:p>
            <w:pPr>
              <w:widowControl/>
              <w:spacing w:before="100" w:beforeLines="0" w:beforeAutospacing="1" w:after="100" w:afterLines="0" w:afterAutospacing="1"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微波频率</w:t>
            </w:r>
          </w:p>
        </w:tc>
        <w:tc>
          <w:tcPr>
            <w:tcW w:w="2087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vAlign w:val="top"/>
          </w:tcPr>
          <w:p>
            <w:pPr>
              <w:widowControl/>
              <w:spacing w:before="100" w:beforeLines="0" w:beforeAutospacing="1" w:after="100" w:afterLines="0" w:afterAutospacing="1"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容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积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tblCellSpacing w:w="0" w:type="dxa"/>
        </w:trPr>
        <w:tc>
          <w:tcPr>
            <w:tcW w:w="1594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vAlign w:val="top"/>
          </w:tcPr>
          <w:p>
            <w:pPr>
              <w:widowControl/>
              <w:spacing w:before="100" w:beforeLines="0" w:beforeAutospacing="1" w:after="100" w:afterLines="0" w:afterAutospacing="1"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</w:rPr>
              <w:t>XO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LJ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1681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vAlign w:val="top"/>
          </w:tcPr>
          <w:p>
            <w:pPr>
              <w:widowControl/>
              <w:spacing w:before="100" w:beforeLines="0" w:beforeAutospacing="1" w:after="100" w:afterLines="0" w:afterAutospacing="1"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</w:rPr>
              <w:t>0~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</w:rPr>
              <w:t>00W</w:t>
            </w:r>
          </w:p>
        </w:tc>
        <w:tc>
          <w:tcPr>
            <w:tcW w:w="1775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vAlign w:val="top"/>
          </w:tcPr>
          <w:p>
            <w:pPr>
              <w:widowControl/>
              <w:spacing w:before="100" w:beforeLines="0" w:beforeAutospacing="1" w:after="100" w:afterLines="0" w:afterAutospacing="1"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</w:rPr>
              <w:t>2450MHZ</w:t>
            </w:r>
          </w:p>
        </w:tc>
        <w:tc>
          <w:tcPr>
            <w:tcW w:w="2087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vAlign w:val="top"/>
          </w:tcPr>
          <w:p>
            <w:pPr>
              <w:widowControl/>
              <w:spacing w:before="100" w:beforeLines="0" w:beforeAutospacing="1" w:after="100" w:afterLines="0" w:afterAutospacing="1"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 w:val="0"/>
                <w:bCs/>
                <w:szCs w:val="21"/>
              </w:rPr>
              <w:t>～</w:t>
            </w:r>
            <w:r>
              <w:rPr>
                <w:rFonts w:hint="eastAsia" w:ascii="仿宋" w:hAnsi="仿宋" w:eastAsia="仿宋" w:cs="仿宋"/>
                <w:b w:val="0"/>
                <w:bCs/>
                <w:szCs w:val="21"/>
                <w:lang w:val="en-US" w:eastAsia="zh-CN"/>
              </w:rPr>
              <w:t>500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Cs w:val="21"/>
              </w:rPr>
              <w:t>ml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CellSpacing w:w="0" w:type="dxa"/>
        </w:trPr>
        <w:tc>
          <w:tcPr>
            <w:tcW w:w="1594" w:type="dxa"/>
            <w:tcBorders>
              <w:top w:val="outset" w:color="CCCCCC" w:sz="6" w:space="0"/>
              <w:left w:val="outset" w:color="CCCCCC" w:sz="6" w:space="0"/>
              <w:bottom w:val="single" w:color="auto" w:sz="4" w:space="0"/>
              <w:right w:val="outset" w:color="CCCCCC" w:sz="6" w:space="0"/>
            </w:tcBorders>
            <w:textDirection w:val="lrTb"/>
            <w:vAlign w:val="top"/>
          </w:tcPr>
          <w:p>
            <w:pPr>
              <w:widowControl/>
              <w:spacing w:before="100" w:beforeLines="0" w:beforeAutospacing="1" w:after="100" w:afterLines="0" w:afterAutospacing="1"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</w:rPr>
              <w:t>XO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LJ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1681" w:type="dxa"/>
            <w:tcBorders>
              <w:top w:val="outset" w:color="CCCCCC" w:sz="6" w:space="0"/>
              <w:left w:val="outset" w:color="CCCCCC" w:sz="6" w:space="0"/>
              <w:bottom w:val="single" w:color="auto" w:sz="4" w:space="0"/>
              <w:right w:val="outset" w:color="CCCCCC" w:sz="6" w:space="0"/>
            </w:tcBorders>
            <w:textDirection w:val="lrTb"/>
            <w:vAlign w:val="top"/>
          </w:tcPr>
          <w:p>
            <w:pPr>
              <w:widowControl/>
              <w:spacing w:before="100" w:beforeLines="0" w:beforeAutospacing="1" w:after="100" w:afterLines="0" w:afterAutospacing="1"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</w:rPr>
              <w:t>0~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</w:rPr>
              <w:t>00W</w:t>
            </w:r>
          </w:p>
        </w:tc>
        <w:tc>
          <w:tcPr>
            <w:tcW w:w="1775" w:type="dxa"/>
            <w:tcBorders>
              <w:top w:val="outset" w:color="CCCCCC" w:sz="6" w:space="0"/>
              <w:left w:val="outset" w:color="CCCCCC" w:sz="6" w:space="0"/>
              <w:bottom w:val="single" w:color="auto" w:sz="4" w:space="0"/>
              <w:right w:val="outset" w:color="CCCCCC" w:sz="6" w:space="0"/>
            </w:tcBorders>
            <w:textDirection w:val="lrTb"/>
            <w:vAlign w:val="top"/>
          </w:tcPr>
          <w:p>
            <w:pPr>
              <w:widowControl/>
              <w:spacing w:before="100" w:beforeLines="0" w:beforeAutospacing="1" w:after="100" w:afterLines="0" w:afterAutospacing="1"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</w:rPr>
              <w:t>2450MHZ</w:t>
            </w:r>
          </w:p>
        </w:tc>
        <w:tc>
          <w:tcPr>
            <w:tcW w:w="2087" w:type="dxa"/>
            <w:tcBorders>
              <w:top w:val="outset" w:color="CCCCCC" w:sz="6" w:space="0"/>
              <w:left w:val="outset" w:color="CCCCCC" w:sz="6" w:space="0"/>
              <w:bottom w:val="single" w:color="auto" w:sz="4" w:space="0"/>
              <w:right w:val="outset" w:color="CCCCCC" w:sz="6" w:space="0"/>
            </w:tcBorders>
            <w:textDirection w:val="lrTb"/>
            <w:vAlign w:val="top"/>
          </w:tcPr>
          <w:p>
            <w:pPr>
              <w:widowControl/>
              <w:spacing w:before="100" w:beforeLines="0" w:beforeAutospacing="1" w:after="100" w:afterLines="0" w:afterAutospacing="1"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 w:val="0"/>
                <w:bCs/>
                <w:szCs w:val="21"/>
              </w:rPr>
              <w:t>～</w:t>
            </w:r>
            <w:r>
              <w:rPr>
                <w:rFonts w:hint="eastAsia" w:ascii="仿宋" w:hAnsi="仿宋" w:eastAsia="仿宋" w:cs="仿宋"/>
                <w:b w:val="0"/>
                <w:bCs/>
                <w:szCs w:val="21"/>
                <w:lang w:val="en-US" w:eastAsia="zh-CN"/>
              </w:rPr>
              <w:t>1000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Cs w:val="21"/>
              </w:rPr>
              <w:t>ml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tblCellSpacing w:w="0" w:type="dxa"/>
        </w:trPr>
        <w:tc>
          <w:tcPr>
            <w:tcW w:w="1594" w:type="dxa"/>
            <w:tcBorders>
              <w:top w:val="single" w:color="auto" w:sz="4" w:space="0"/>
              <w:left w:val="outset" w:color="CCCCCC" w:sz="6" w:space="0"/>
              <w:bottom w:val="single" w:color="auto" w:sz="4" w:space="0"/>
              <w:right w:val="outset" w:color="CCCCCC" w:sz="6" w:space="0"/>
            </w:tcBorders>
            <w:textDirection w:val="lrTb"/>
            <w:vAlign w:val="top"/>
          </w:tcPr>
          <w:p>
            <w:pPr>
              <w:widowControl/>
              <w:spacing w:before="100" w:beforeLines="0" w:beforeAutospacing="1" w:after="100" w:afterLines="0" w:afterAutospacing="1"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</w:rPr>
              <w:t>XO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LJ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1681" w:type="dxa"/>
            <w:tcBorders>
              <w:top w:val="single" w:color="auto" w:sz="4" w:space="0"/>
              <w:left w:val="outset" w:color="CCCCCC" w:sz="6" w:space="0"/>
              <w:bottom w:val="single" w:color="auto" w:sz="4" w:space="0"/>
              <w:right w:val="outset" w:color="CCCCCC" w:sz="6" w:space="0"/>
            </w:tcBorders>
            <w:textDirection w:val="lrTb"/>
            <w:vAlign w:val="top"/>
          </w:tcPr>
          <w:p>
            <w:pPr>
              <w:widowControl/>
              <w:spacing w:before="100" w:beforeLines="0" w:beforeAutospacing="1" w:after="100" w:afterLines="0" w:afterAutospacing="1"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</w:rPr>
              <w:t>0~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</w:rPr>
              <w:t>00W</w:t>
            </w:r>
          </w:p>
        </w:tc>
        <w:tc>
          <w:tcPr>
            <w:tcW w:w="1775" w:type="dxa"/>
            <w:tcBorders>
              <w:top w:val="single" w:color="auto" w:sz="4" w:space="0"/>
              <w:left w:val="outset" w:color="CCCCCC" w:sz="6" w:space="0"/>
              <w:bottom w:val="single" w:color="auto" w:sz="4" w:space="0"/>
              <w:right w:val="outset" w:color="CCCCCC" w:sz="6" w:space="0"/>
            </w:tcBorders>
            <w:textDirection w:val="lrTb"/>
            <w:vAlign w:val="top"/>
          </w:tcPr>
          <w:p>
            <w:pPr>
              <w:widowControl/>
              <w:spacing w:before="100" w:beforeLines="0" w:beforeAutospacing="1" w:after="100" w:afterLines="0" w:afterAutospacing="1"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</w:rPr>
              <w:t>2450MHZ</w:t>
            </w:r>
          </w:p>
        </w:tc>
        <w:tc>
          <w:tcPr>
            <w:tcW w:w="2087" w:type="dxa"/>
            <w:tcBorders>
              <w:top w:val="single" w:color="auto" w:sz="4" w:space="0"/>
              <w:left w:val="outset" w:color="CCCCCC" w:sz="6" w:space="0"/>
              <w:bottom w:val="single" w:color="auto" w:sz="4" w:space="0"/>
              <w:right w:val="outset" w:color="CCCCCC" w:sz="6" w:space="0"/>
            </w:tcBorders>
            <w:textDirection w:val="lrTb"/>
            <w:vAlign w:val="top"/>
          </w:tcPr>
          <w:p>
            <w:pPr>
              <w:widowControl/>
              <w:spacing w:before="100" w:beforeLines="0" w:beforeAutospacing="1" w:after="100" w:afterLines="0" w:afterAutospacing="1"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Cs w:val="21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"/>
                <w:b w:val="0"/>
                <w:bCs/>
                <w:szCs w:val="21"/>
              </w:rPr>
              <w:t>～</w:t>
            </w:r>
            <w:r>
              <w:rPr>
                <w:rFonts w:hint="eastAsia" w:ascii="仿宋" w:hAnsi="仿宋" w:eastAsia="仿宋" w:cs="仿宋"/>
                <w:b w:val="0"/>
                <w:bCs/>
                <w:szCs w:val="21"/>
                <w:lang w:val="en-US" w:eastAsia="zh-CN"/>
              </w:rPr>
              <w:t>3000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Cs w:val="21"/>
              </w:rPr>
              <w:t>ml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1594" w:type="dxa"/>
            <w:tcBorders>
              <w:top w:val="single" w:color="auto" w:sz="4" w:space="0"/>
              <w:left w:val="outset" w:color="CCCCCC" w:sz="6" w:space="0"/>
              <w:bottom w:val="single" w:color="auto" w:sz="4" w:space="0"/>
              <w:right w:val="outset" w:color="CCCCCC" w:sz="6" w:space="0"/>
            </w:tcBorders>
            <w:textDirection w:val="lrTb"/>
            <w:vAlign w:val="top"/>
          </w:tcPr>
          <w:p>
            <w:pPr>
              <w:widowControl/>
              <w:spacing w:before="100" w:beforeLines="0" w:beforeAutospacing="1" w:after="100" w:afterLines="0" w:afterAutospacing="1"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</w:rPr>
              <w:t>XO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LJ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1681" w:type="dxa"/>
            <w:tcBorders>
              <w:top w:val="single" w:color="auto" w:sz="4" w:space="0"/>
              <w:left w:val="outset" w:color="CCCCCC" w:sz="6" w:space="0"/>
              <w:bottom w:val="single" w:color="auto" w:sz="4" w:space="0"/>
              <w:right w:val="outset" w:color="CCCCCC" w:sz="6" w:space="0"/>
            </w:tcBorders>
            <w:textDirection w:val="lrTb"/>
            <w:vAlign w:val="top"/>
          </w:tcPr>
          <w:p>
            <w:pPr>
              <w:widowControl/>
              <w:spacing w:before="100" w:beforeLines="0" w:beforeAutospacing="1" w:after="100" w:afterLines="0" w:afterAutospacing="1"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</w:rPr>
              <w:t>0~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</w:rPr>
              <w:t>00W</w:t>
            </w:r>
          </w:p>
        </w:tc>
        <w:tc>
          <w:tcPr>
            <w:tcW w:w="1775" w:type="dxa"/>
            <w:tcBorders>
              <w:top w:val="single" w:color="auto" w:sz="4" w:space="0"/>
              <w:left w:val="outset" w:color="CCCCCC" w:sz="6" w:space="0"/>
              <w:bottom w:val="single" w:color="auto" w:sz="4" w:space="0"/>
              <w:right w:val="outset" w:color="CCCCCC" w:sz="6" w:space="0"/>
            </w:tcBorders>
            <w:textDirection w:val="lrTb"/>
            <w:vAlign w:val="top"/>
          </w:tcPr>
          <w:p>
            <w:pPr>
              <w:widowControl/>
              <w:spacing w:before="100" w:beforeLines="0" w:beforeAutospacing="1" w:after="100" w:afterLines="0" w:afterAutospacing="1"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</w:rPr>
              <w:t>2450MHZ</w:t>
            </w:r>
          </w:p>
        </w:tc>
        <w:tc>
          <w:tcPr>
            <w:tcW w:w="2087" w:type="dxa"/>
            <w:tcBorders>
              <w:top w:val="single" w:color="auto" w:sz="4" w:space="0"/>
              <w:left w:val="outset" w:color="CCCCCC" w:sz="6" w:space="0"/>
              <w:bottom w:val="single" w:color="auto" w:sz="4" w:space="0"/>
              <w:right w:val="outset" w:color="CCCCCC" w:sz="6" w:space="0"/>
            </w:tcBorders>
            <w:textDirection w:val="lrTb"/>
            <w:vAlign w:val="top"/>
          </w:tcPr>
          <w:p>
            <w:pPr>
              <w:widowControl/>
              <w:spacing w:before="100" w:beforeLines="0" w:beforeAutospacing="1" w:after="100" w:afterLines="0" w:afterAutospacing="1"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Cs w:val="21"/>
                <w:lang w:val="en-US" w:eastAsia="zh-CN"/>
              </w:rPr>
              <w:t>200</w:t>
            </w:r>
            <w:r>
              <w:rPr>
                <w:rFonts w:hint="eastAsia" w:ascii="仿宋" w:hAnsi="仿宋" w:eastAsia="仿宋" w:cs="仿宋"/>
                <w:b w:val="0"/>
                <w:bCs/>
                <w:szCs w:val="21"/>
              </w:rPr>
              <w:t>～</w:t>
            </w:r>
            <w:r>
              <w:rPr>
                <w:rFonts w:hint="eastAsia" w:ascii="仿宋" w:hAnsi="仿宋" w:eastAsia="仿宋" w:cs="仿宋"/>
                <w:b w:val="0"/>
                <w:bCs/>
                <w:szCs w:val="21"/>
                <w:lang w:val="en-US" w:eastAsia="zh-CN"/>
              </w:rPr>
              <w:t>5000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Cs w:val="21"/>
              </w:rPr>
              <w:t>ml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tblCellSpacing w:w="0" w:type="dxa"/>
        </w:trPr>
        <w:tc>
          <w:tcPr>
            <w:tcW w:w="1594" w:type="dxa"/>
            <w:tcBorders>
              <w:top w:val="single" w:color="auto" w:sz="4" w:space="0"/>
              <w:left w:val="outset" w:color="CCCCCC" w:sz="6" w:space="0"/>
              <w:bottom w:val="single" w:color="auto" w:sz="4" w:space="0"/>
              <w:right w:val="outset" w:color="CCCCCC" w:sz="6" w:space="0"/>
            </w:tcBorders>
            <w:textDirection w:val="lrTb"/>
            <w:vAlign w:val="top"/>
          </w:tcPr>
          <w:p>
            <w:pPr>
              <w:widowControl/>
              <w:spacing w:before="100" w:beforeLines="0" w:beforeAutospacing="1" w:after="100" w:afterLines="0" w:afterAutospacing="1"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</w:rPr>
              <w:t>XO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LJ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1681" w:type="dxa"/>
            <w:tcBorders>
              <w:top w:val="single" w:color="auto" w:sz="4" w:space="0"/>
              <w:left w:val="outset" w:color="CCCCCC" w:sz="6" w:space="0"/>
              <w:bottom w:val="single" w:color="auto" w:sz="4" w:space="0"/>
              <w:right w:val="outset" w:color="CCCCCC" w:sz="6" w:space="0"/>
            </w:tcBorders>
            <w:textDirection w:val="lrTb"/>
            <w:vAlign w:val="top"/>
          </w:tcPr>
          <w:p>
            <w:pPr>
              <w:widowControl/>
              <w:spacing w:before="100" w:beforeLines="0" w:beforeAutospacing="1" w:after="100" w:afterLines="0" w:afterAutospacing="1"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</w:rPr>
              <w:t>0~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</w:rPr>
              <w:t>00W</w:t>
            </w:r>
          </w:p>
        </w:tc>
        <w:tc>
          <w:tcPr>
            <w:tcW w:w="1775" w:type="dxa"/>
            <w:tcBorders>
              <w:top w:val="single" w:color="auto" w:sz="4" w:space="0"/>
              <w:left w:val="outset" w:color="CCCCCC" w:sz="6" w:space="0"/>
              <w:bottom w:val="single" w:color="auto" w:sz="4" w:space="0"/>
              <w:right w:val="outset" w:color="CCCCCC" w:sz="6" w:space="0"/>
            </w:tcBorders>
            <w:textDirection w:val="lrTb"/>
            <w:vAlign w:val="top"/>
          </w:tcPr>
          <w:p>
            <w:pPr>
              <w:widowControl/>
              <w:spacing w:before="100" w:beforeLines="0" w:beforeAutospacing="1" w:after="100" w:afterLines="0" w:afterAutospacing="1"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</w:rPr>
              <w:t>2450MHZ</w:t>
            </w:r>
          </w:p>
        </w:tc>
        <w:tc>
          <w:tcPr>
            <w:tcW w:w="2087" w:type="dxa"/>
            <w:tcBorders>
              <w:top w:val="single" w:color="auto" w:sz="4" w:space="0"/>
              <w:left w:val="outset" w:color="CCCCCC" w:sz="6" w:space="0"/>
              <w:bottom w:val="single" w:color="auto" w:sz="4" w:space="0"/>
              <w:right w:val="outset" w:color="CCCCCC" w:sz="6" w:space="0"/>
            </w:tcBorders>
            <w:textDirection w:val="lrTb"/>
            <w:vAlign w:val="top"/>
          </w:tcPr>
          <w:p>
            <w:pPr>
              <w:widowControl/>
              <w:spacing w:before="100" w:beforeLines="0" w:beforeAutospacing="1" w:after="100" w:afterLines="0" w:afterAutospacing="1"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Cs w:val="21"/>
                <w:lang w:val="en-US" w:eastAsia="zh-CN"/>
              </w:rPr>
              <w:t>200</w:t>
            </w:r>
            <w:r>
              <w:rPr>
                <w:rFonts w:hint="eastAsia" w:ascii="仿宋" w:hAnsi="仿宋" w:eastAsia="仿宋" w:cs="仿宋"/>
                <w:b w:val="0"/>
                <w:bCs/>
                <w:szCs w:val="21"/>
              </w:rPr>
              <w:t>～</w:t>
            </w:r>
            <w:r>
              <w:rPr>
                <w:rFonts w:hint="eastAsia" w:ascii="仿宋" w:hAnsi="仿宋" w:eastAsia="仿宋" w:cs="仿宋"/>
                <w:b w:val="0"/>
                <w:bCs/>
                <w:szCs w:val="21"/>
                <w:lang w:val="en-US" w:eastAsia="zh-CN"/>
              </w:rPr>
              <w:t>8000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Cs w:val="21"/>
              </w:rPr>
              <w:t>ml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tblCellSpacing w:w="0" w:type="dxa"/>
        </w:trPr>
        <w:tc>
          <w:tcPr>
            <w:tcW w:w="1594" w:type="dxa"/>
            <w:tcBorders>
              <w:top w:val="single" w:color="auto" w:sz="4" w:space="0"/>
              <w:left w:val="outset" w:color="CCCCCC" w:sz="6" w:space="0"/>
              <w:bottom w:val="single" w:color="auto" w:sz="4" w:space="0"/>
              <w:right w:val="outset" w:color="CCCCCC" w:sz="6" w:space="0"/>
            </w:tcBorders>
            <w:textDirection w:val="lrTb"/>
            <w:vAlign w:val="top"/>
          </w:tcPr>
          <w:p>
            <w:pPr>
              <w:widowControl/>
              <w:spacing w:before="100" w:beforeLines="0" w:beforeAutospacing="1" w:after="100" w:afterLines="0" w:afterAutospacing="1"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</w:rPr>
              <w:t>XO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LJ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1681" w:type="dxa"/>
            <w:tcBorders>
              <w:top w:val="single" w:color="auto" w:sz="4" w:space="0"/>
              <w:left w:val="outset" w:color="CCCCCC" w:sz="6" w:space="0"/>
              <w:bottom w:val="single" w:color="auto" w:sz="4" w:space="0"/>
              <w:right w:val="outset" w:color="CCCCCC" w:sz="6" w:space="0"/>
            </w:tcBorders>
            <w:textDirection w:val="lrTb"/>
            <w:vAlign w:val="top"/>
          </w:tcPr>
          <w:p>
            <w:pPr>
              <w:widowControl/>
              <w:spacing w:before="100" w:beforeLines="0" w:beforeAutospacing="1" w:after="100" w:afterLines="0" w:afterAutospacing="1"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</w:rPr>
              <w:t>0~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10K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</w:rPr>
              <w:t>W</w:t>
            </w:r>
          </w:p>
        </w:tc>
        <w:tc>
          <w:tcPr>
            <w:tcW w:w="1775" w:type="dxa"/>
            <w:tcBorders>
              <w:top w:val="single" w:color="auto" w:sz="4" w:space="0"/>
              <w:left w:val="outset" w:color="CCCCCC" w:sz="6" w:space="0"/>
              <w:bottom w:val="single" w:color="auto" w:sz="4" w:space="0"/>
              <w:right w:val="outset" w:color="CCCCCC" w:sz="6" w:space="0"/>
            </w:tcBorders>
            <w:textDirection w:val="lrTb"/>
            <w:vAlign w:val="top"/>
          </w:tcPr>
          <w:p>
            <w:pPr>
              <w:widowControl/>
              <w:spacing w:before="100" w:beforeLines="0" w:beforeAutospacing="1" w:after="100" w:afterLines="0" w:afterAutospacing="1"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</w:rPr>
              <w:t>2450MHZ</w:t>
            </w:r>
          </w:p>
        </w:tc>
        <w:tc>
          <w:tcPr>
            <w:tcW w:w="2087" w:type="dxa"/>
            <w:tcBorders>
              <w:top w:val="single" w:color="auto" w:sz="4" w:space="0"/>
              <w:left w:val="outset" w:color="CCCCCC" w:sz="6" w:space="0"/>
              <w:bottom w:val="single" w:color="auto" w:sz="4" w:space="0"/>
              <w:right w:val="outset" w:color="CCCCCC" w:sz="6" w:space="0"/>
            </w:tcBorders>
            <w:textDirection w:val="lrTb"/>
            <w:vAlign w:val="top"/>
          </w:tcPr>
          <w:p>
            <w:pPr>
              <w:widowControl/>
              <w:spacing w:before="100" w:beforeLines="0" w:beforeAutospacing="1" w:after="100" w:afterLines="0" w:afterAutospacing="1"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Cs w:val="21"/>
                <w:lang w:val="en-US" w:eastAsia="zh-CN"/>
              </w:rPr>
              <w:t>0.2</w:t>
            </w:r>
            <w:r>
              <w:rPr>
                <w:rFonts w:hint="eastAsia" w:ascii="仿宋" w:hAnsi="仿宋" w:eastAsia="仿宋" w:cs="仿宋"/>
                <w:b w:val="0"/>
                <w:bCs/>
                <w:szCs w:val="21"/>
              </w:rPr>
              <w:t>～</w:t>
            </w:r>
            <w:r>
              <w:rPr>
                <w:rFonts w:hint="eastAsia" w:ascii="仿宋" w:hAnsi="仿宋" w:eastAsia="仿宋" w:cs="仿宋"/>
                <w:b w:val="0"/>
                <w:bCs/>
                <w:szCs w:val="21"/>
                <w:lang w:val="en-US" w:eastAsia="zh-CN"/>
              </w:rPr>
              <w:t>1OL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</w:trPr>
        <w:tc>
          <w:tcPr>
            <w:tcW w:w="1594" w:type="dxa"/>
            <w:tcBorders>
              <w:top w:val="single" w:color="auto" w:sz="4" w:space="0"/>
              <w:left w:val="outset" w:color="CCCCCC" w:sz="6" w:space="0"/>
              <w:bottom w:val="single" w:color="auto" w:sz="4" w:space="0"/>
              <w:right w:val="outset" w:color="CCCCCC" w:sz="6" w:space="0"/>
            </w:tcBorders>
            <w:textDirection w:val="lrTb"/>
            <w:vAlign w:val="top"/>
          </w:tcPr>
          <w:p>
            <w:pPr>
              <w:widowControl/>
              <w:spacing w:before="100" w:beforeLines="0" w:beforeAutospacing="1" w:after="100" w:afterLines="0" w:afterAutospacing="1"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XOLJ-2000N</w:t>
            </w:r>
          </w:p>
        </w:tc>
        <w:tc>
          <w:tcPr>
            <w:tcW w:w="1681" w:type="dxa"/>
            <w:tcBorders>
              <w:top w:val="single" w:color="auto" w:sz="4" w:space="0"/>
              <w:left w:val="outset" w:color="CCCCCC" w:sz="6" w:space="0"/>
              <w:bottom w:val="single" w:color="auto" w:sz="4" w:space="0"/>
              <w:right w:val="outset" w:color="CCCCCC" w:sz="6" w:space="0"/>
            </w:tcBorders>
            <w:textDirection w:val="lrTb"/>
            <w:vAlign w:val="top"/>
          </w:tcPr>
          <w:p>
            <w:pPr>
              <w:widowControl/>
              <w:spacing w:before="100" w:beforeLines="0" w:beforeAutospacing="1" w:after="100" w:afterLines="0" w:afterAutospacing="1"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</w:rPr>
              <w:t>0~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20K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</w:rPr>
              <w:t>W</w:t>
            </w:r>
          </w:p>
        </w:tc>
        <w:tc>
          <w:tcPr>
            <w:tcW w:w="1775" w:type="dxa"/>
            <w:tcBorders>
              <w:top w:val="single" w:color="auto" w:sz="4" w:space="0"/>
              <w:left w:val="outset" w:color="CCCCCC" w:sz="6" w:space="0"/>
              <w:bottom w:val="single" w:color="auto" w:sz="4" w:space="0"/>
              <w:right w:val="outset" w:color="CCCCCC" w:sz="6" w:space="0"/>
            </w:tcBorders>
            <w:textDirection w:val="lrTb"/>
            <w:vAlign w:val="top"/>
          </w:tcPr>
          <w:p>
            <w:pPr>
              <w:widowControl/>
              <w:spacing w:before="100" w:beforeLines="0" w:beforeAutospacing="1" w:after="100" w:afterLines="0" w:afterAutospacing="1"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18"/>
                <w:szCs w:val="18"/>
              </w:rPr>
              <w:t>2450MHZ</w:t>
            </w:r>
          </w:p>
        </w:tc>
        <w:tc>
          <w:tcPr>
            <w:tcW w:w="2087" w:type="dxa"/>
            <w:tcBorders>
              <w:top w:val="single" w:color="auto" w:sz="4" w:space="0"/>
              <w:left w:val="outset" w:color="CCCCCC" w:sz="6" w:space="0"/>
              <w:bottom w:val="single" w:color="auto" w:sz="4" w:space="0"/>
              <w:right w:val="outset" w:color="CCCCCC" w:sz="6" w:space="0"/>
            </w:tcBorders>
            <w:textDirection w:val="lrTb"/>
            <w:vAlign w:val="top"/>
          </w:tcPr>
          <w:p>
            <w:pPr>
              <w:widowControl/>
              <w:spacing w:before="100" w:beforeLines="0" w:beforeAutospacing="1" w:after="100" w:afterLines="0" w:afterAutospacing="1"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Cs w:val="21"/>
                <w:lang w:val="en-US" w:eastAsia="zh-CN"/>
              </w:rPr>
              <w:t>0.5</w:t>
            </w:r>
            <w:r>
              <w:rPr>
                <w:rFonts w:hint="eastAsia" w:ascii="仿宋" w:hAnsi="仿宋" w:eastAsia="仿宋" w:cs="仿宋"/>
                <w:b w:val="0"/>
                <w:bCs/>
                <w:szCs w:val="21"/>
              </w:rPr>
              <w:t>～</w:t>
            </w:r>
            <w:r>
              <w:rPr>
                <w:rFonts w:hint="eastAsia" w:ascii="仿宋" w:hAnsi="仿宋" w:eastAsia="仿宋" w:cs="仿宋"/>
                <w:b w:val="0"/>
                <w:bCs/>
                <w:szCs w:val="21"/>
                <w:lang w:val="en-US" w:eastAsia="zh-CN"/>
              </w:rPr>
              <w:t>2OL</w:t>
            </w:r>
          </w:p>
        </w:tc>
      </w:tr>
    </w:tbl>
    <w:p>
      <w:pPr>
        <w:spacing w:before="156" w:beforeLines="50" w:after="156" w:afterLines="50" w:line="400" w:lineRule="exact"/>
        <w:rPr>
          <w:rFonts w:hint="eastAsia" w:ascii="仿宋" w:hAnsi="仿宋" w:eastAsia="仿宋" w:cs="仿宋"/>
          <w:b/>
          <w:color w:val="000000"/>
          <w:kern w:val="0"/>
          <w:sz w:val="24"/>
        </w:rPr>
      </w:pPr>
      <w:r>
        <w:rPr>
          <w:rFonts w:hint="eastAsia" w:ascii="仿宋" w:hAnsi="仿宋" w:eastAsia="仿宋" w:cs="仿宋"/>
          <w:b/>
          <w:color w:val="000000"/>
          <w:kern w:val="0"/>
          <w:sz w:val="24"/>
        </w:rPr>
        <w:t>系统特点：</w:t>
      </w:r>
      <w:r>
        <w:rPr>
          <w:rFonts w:hint="eastAsia" w:ascii="仿宋" w:hAnsi="仿宋" w:eastAsia="仿宋" w:cs="仿宋"/>
          <w:b/>
          <w:color w:val="000000"/>
          <w:kern w:val="0"/>
          <w:sz w:val="24"/>
          <w:lang w:val="en-US" w:eastAsia="zh-CN"/>
        </w:rPr>
        <w:t xml:space="preserve"> 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20"/>
          <w:szCs w:val="20"/>
        </w:rPr>
      </w:pPr>
      <w:r>
        <w:rPr>
          <w:rFonts w:hint="eastAsia" w:ascii="仿宋" w:hAnsi="仿宋" w:eastAsia="仿宋" w:cs="仿宋"/>
          <w:sz w:val="20"/>
          <w:szCs w:val="20"/>
        </w:rPr>
        <w:t>●</w:t>
      </w:r>
      <w:r>
        <w:rPr>
          <w:rFonts w:hint="eastAsia" w:ascii="仿宋" w:hAnsi="仿宋" w:eastAsia="仿宋" w:cs="仿宋"/>
          <w:color w:val="000000"/>
          <w:sz w:val="20"/>
          <w:szCs w:val="20"/>
        </w:rPr>
        <w:t>热效率高，物料升温迅速；具选择性和灵活性，无滞后效应；在微波穿透范围内，对反应物的颗粒大小无严格要求，无需经多次粉碎过程，节约了大量的人力物力资源。</w:t>
      </w:r>
    </w:p>
    <w:p>
      <w:pPr>
        <w:rPr>
          <w:rFonts w:hint="eastAsia" w:ascii="仿宋" w:hAnsi="仿宋" w:eastAsia="仿宋" w:cs="仿宋"/>
          <w:sz w:val="20"/>
          <w:szCs w:val="20"/>
        </w:rPr>
      </w:pPr>
      <w:r>
        <w:rPr>
          <w:rFonts w:hint="eastAsia" w:ascii="仿宋" w:hAnsi="仿宋" w:eastAsia="仿宋" w:cs="仿宋"/>
          <w:sz w:val="20"/>
          <w:szCs w:val="20"/>
        </w:rPr>
        <w:t>●采用</w:t>
      </w:r>
      <w:r>
        <w:rPr>
          <w:rFonts w:hint="eastAsia" w:ascii="仿宋" w:hAnsi="仿宋" w:eastAsia="仿宋" w:cs="仿宋"/>
          <w:sz w:val="20"/>
          <w:szCs w:val="20"/>
          <w:lang w:val="en-US" w:eastAsia="zh-CN"/>
        </w:rPr>
        <w:t>英国剑桥牌</w:t>
      </w:r>
      <w:r>
        <w:rPr>
          <w:rFonts w:hint="eastAsia" w:ascii="仿宋" w:hAnsi="仿宋" w:eastAsia="仿宋" w:cs="仿宋"/>
          <w:sz w:val="20"/>
          <w:szCs w:val="20"/>
        </w:rPr>
        <w:t>微波发生系统，性能稳定；微波功率</w:t>
      </w:r>
      <w:r>
        <w:rPr>
          <w:rFonts w:hint="eastAsia" w:ascii="仿宋" w:hAnsi="仿宋" w:eastAsia="仿宋" w:cs="仿宋"/>
          <w:sz w:val="20"/>
          <w:szCs w:val="20"/>
          <w:lang w:eastAsia="zh-CN"/>
        </w:rPr>
        <w:t>：</w:t>
      </w:r>
      <w:r>
        <w:rPr>
          <w:rFonts w:hint="eastAsia" w:ascii="仿宋" w:hAnsi="仿宋" w:eastAsia="仿宋" w:cs="仿宋"/>
          <w:sz w:val="20"/>
          <w:szCs w:val="20"/>
          <w:lang w:val="en-US" w:eastAsia="zh-CN"/>
        </w:rPr>
        <w:t>1~20KW可选,</w:t>
      </w:r>
      <w:r>
        <w:rPr>
          <w:rFonts w:hint="eastAsia" w:ascii="仿宋" w:hAnsi="仿宋" w:eastAsia="仿宋" w:cs="仿宋"/>
          <w:sz w:val="20"/>
          <w:szCs w:val="20"/>
        </w:rPr>
        <w:t>可微调；微波频率：2450MHz；</w:t>
      </w:r>
    </w:p>
    <w:p>
      <w:pPr>
        <w:rPr>
          <w:rFonts w:hint="eastAsia" w:ascii="仿宋" w:hAnsi="仿宋" w:eastAsia="仿宋" w:cs="仿宋"/>
          <w:sz w:val="20"/>
          <w:szCs w:val="20"/>
        </w:rPr>
      </w:pPr>
      <w:r>
        <w:rPr>
          <w:rFonts w:hint="eastAsia" w:ascii="仿宋" w:hAnsi="仿宋" w:eastAsia="仿宋" w:cs="仿宋"/>
          <w:sz w:val="20"/>
          <w:szCs w:val="20"/>
        </w:rPr>
        <w:t>●配有10寸超薄、超高清、多功能液晶大屏幕显示，实时显示样品工作状态</w:t>
      </w:r>
      <w:r>
        <w:rPr>
          <w:rFonts w:hint="eastAsia" w:ascii="仿宋" w:hAnsi="仿宋" w:eastAsia="仿宋" w:cs="仿宋"/>
          <w:sz w:val="20"/>
          <w:szCs w:val="20"/>
        </w:rPr>
        <w:br w:type="textWrapping"/>
      </w:r>
      <w:r>
        <w:rPr>
          <w:rFonts w:hint="eastAsia" w:ascii="仿宋" w:hAnsi="仿宋" w:eastAsia="仿宋" w:cs="仿宋"/>
          <w:sz w:val="20"/>
          <w:szCs w:val="20"/>
        </w:rPr>
        <w:t xml:space="preserve">●采用国外最先进脉冲式微波发生系统，性能稳定；微波功率可微调；微波频率：2450MHz； </w:t>
      </w:r>
    </w:p>
    <w:p>
      <w:pPr>
        <w:rPr>
          <w:rFonts w:hint="eastAsia" w:ascii="仿宋" w:hAnsi="仿宋" w:eastAsia="仿宋" w:cs="仿宋"/>
          <w:b/>
          <w:color w:val="000000"/>
          <w:kern w:val="0"/>
          <w:sz w:val="20"/>
          <w:szCs w:val="20"/>
          <w:lang w:eastAsia="zh-CN"/>
        </w:rPr>
      </w:pPr>
      <w:r>
        <w:rPr>
          <w:rFonts w:hint="eastAsia" w:ascii="仿宋" w:hAnsi="仿宋" w:eastAsia="仿宋" w:cs="仿宋"/>
          <w:sz w:val="20"/>
          <w:szCs w:val="20"/>
        </w:rPr>
        <w:t>●反应容器</w:t>
      </w:r>
      <w:r>
        <w:rPr>
          <w:rFonts w:hint="eastAsia" w:ascii="仿宋" w:hAnsi="仿宋" w:eastAsia="仿宋" w:cs="仿宋"/>
          <w:sz w:val="20"/>
          <w:szCs w:val="20"/>
          <w:lang w:eastAsia="zh-CN"/>
        </w:rPr>
        <w:t>可适用：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20"/>
          <w:szCs w:val="20"/>
          <w:lang w:val="en-US" w:eastAsia="zh-CN"/>
        </w:rPr>
        <w:t>0.2~20L(也可根据要求非标定制）</w:t>
      </w:r>
      <w:r>
        <w:rPr>
          <w:rFonts w:hint="eastAsia" w:ascii="仿宋" w:hAnsi="仿宋" w:eastAsia="仿宋" w:cs="仿宋"/>
          <w:b/>
          <w:color w:val="000000"/>
          <w:kern w:val="0"/>
          <w:sz w:val="20"/>
          <w:szCs w:val="20"/>
          <w:lang w:eastAsia="zh-CN"/>
        </w:rPr>
        <w:t>，</w:t>
      </w:r>
    </w:p>
    <w:p>
      <w:pPr>
        <w:rPr>
          <w:rFonts w:hint="eastAsia" w:ascii="仿宋" w:hAnsi="仿宋" w:eastAsia="仿宋" w:cs="仿宋"/>
          <w:sz w:val="20"/>
          <w:szCs w:val="20"/>
        </w:rPr>
      </w:pPr>
      <w:r>
        <w:rPr>
          <w:rFonts w:hint="eastAsia" w:ascii="仿宋" w:hAnsi="仿宋" w:eastAsia="仿宋" w:cs="仿宋"/>
          <w:sz w:val="20"/>
          <w:szCs w:val="20"/>
        </w:rPr>
        <w:t>●参数控制部分采用高灵敏触摸屏操作系统，所有参数可编程式控制，</w:t>
      </w:r>
      <w:r>
        <w:rPr>
          <w:rFonts w:hint="eastAsia" w:ascii="仿宋" w:hAnsi="仿宋" w:eastAsia="仿宋" w:cs="仿宋"/>
          <w:sz w:val="20"/>
          <w:szCs w:val="20"/>
          <w:lang w:val="en-US" w:eastAsia="zh-CN"/>
        </w:rPr>
        <w:t>五</w:t>
      </w:r>
      <w:r>
        <w:rPr>
          <w:rFonts w:hint="eastAsia" w:ascii="仿宋" w:hAnsi="仿宋" w:eastAsia="仿宋" w:cs="仿宋"/>
          <w:sz w:val="20"/>
          <w:szCs w:val="20"/>
          <w:lang w:eastAsia="zh-CN"/>
        </w:rPr>
        <w:t>段</w:t>
      </w:r>
      <w:r>
        <w:rPr>
          <w:rFonts w:hint="eastAsia" w:ascii="仿宋" w:hAnsi="仿宋" w:eastAsia="仿宋" w:cs="仿宋"/>
          <w:sz w:val="20"/>
          <w:szCs w:val="20"/>
        </w:rPr>
        <w:t>实验数据储存；</w:t>
      </w:r>
    </w:p>
    <w:p>
      <w:pPr>
        <w:rPr>
          <w:rFonts w:hint="eastAsia" w:ascii="仿宋" w:hAnsi="仿宋" w:eastAsia="仿宋" w:cs="仿宋"/>
          <w:sz w:val="20"/>
          <w:szCs w:val="20"/>
        </w:rPr>
      </w:pPr>
      <w:r>
        <w:rPr>
          <w:rFonts w:hint="eastAsia" w:ascii="仿宋" w:hAnsi="仿宋" w:eastAsia="仿宋" w:cs="仿宋"/>
          <w:sz w:val="20"/>
          <w:szCs w:val="20"/>
        </w:rPr>
        <w:t>●配高精度</w:t>
      </w:r>
      <w:r>
        <w:rPr>
          <w:rFonts w:hint="eastAsia" w:ascii="仿宋" w:hAnsi="仿宋" w:eastAsia="仿宋" w:cs="仿宋"/>
          <w:sz w:val="20"/>
          <w:szCs w:val="20"/>
          <w:lang w:eastAsia="zh-CN"/>
        </w:rPr>
        <w:t>镀金</w:t>
      </w:r>
      <w:r>
        <w:rPr>
          <w:rFonts w:hint="eastAsia" w:ascii="仿宋" w:hAnsi="仿宋" w:eastAsia="仿宋" w:cs="仿宋"/>
          <w:sz w:val="20"/>
          <w:szCs w:val="20"/>
        </w:rPr>
        <w:t>铂金传感测温系统，实时准确检测反应温度，准确控制反应进程温度；控制范围：</w:t>
      </w:r>
      <w:r>
        <w:rPr>
          <w:rFonts w:hint="eastAsia" w:ascii="仿宋" w:hAnsi="仿宋" w:eastAsia="仿宋" w:cs="仿宋"/>
          <w:sz w:val="20"/>
          <w:szCs w:val="20"/>
          <w:lang w:val="en-US" w:eastAsia="zh-CN"/>
        </w:rPr>
        <w:t>25~9</w:t>
      </w:r>
      <w:r>
        <w:rPr>
          <w:rFonts w:hint="eastAsia" w:ascii="仿宋" w:hAnsi="仿宋" w:eastAsia="仿宋" w:cs="仿宋"/>
          <w:sz w:val="20"/>
          <w:szCs w:val="20"/>
        </w:rPr>
        <w:t xml:space="preserve">00℃，控温精度：≤±1℃； </w:t>
      </w:r>
    </w:p>
    <w:p>
      <w:pPr>
        <w:rPr>
          <w:rFonts w:hint="eastAsia" w:ascii="仿宋" w:hAnsi="仿宋" w:eastAsia="仿宋" w:cs="仿宋"/>
          <w:sz w:val="20"/>
          <w:szCs w:val="20"/>
        </w:rPr>
      </w:pPr>
      <w:r>
        <w:rPr>
          <w:rFonts w:hint="eastAsia" w:ascii="仿宋" w:hAnsi="仿宋" w:eastAsia="仿宋" w:cs="仿宋"/>
          <w:sz w:val="20"/>
          <w:szCs w:val="20"/>
        </w:rPr>
        <w:t xml:space="preserve">●采用独有的变频式鼓风散热与程序控制制冷装置，使腔体内温度保持恒定； </w:t>
      </w:r>
    </w:p>
    <w:p>
      <w:pPr>
        <w:rPr>
          <w:rFonts w:hint="eastAsia" w:ascii="仿宋" w:hAnsi="仿宋" w:eastAsia="仿宋" w:cs="仿宋"/>
          <w:sz w:val="20"/>
          <w:szCs w:val="20"/>
        </w:rPr>
      </w:pPr>
      <w:r>
        <w:rPr>
          <w:rFonts w:hint="eastAsia" w:ascii="仿宋" w:hAnsi="仿宋" w:eastAsia="仿宋" w:cs="仿宋"/>
          <w:sz w:val="20"/>
          <w:szCs w:val="20"/>
        </w:rPr>
        <w:t>●工作时间：可连续工作， 在0-999</w:t>
      </w:r>
      <w:r>
        <w:rPr>
          <w:rFonts w:hint="eastAsia" w:ascii="仿宋" w:hAnsi="仿宋" w:eastAsia="仿宋" w:cs="仿宋"/>
          <w:sz w:val="20"/>
          <w:szCs w:val="20"/>
          <w:lang w:val="en-US" w:eastAsia="zh-CN"/>
        </w:rPr>
        <w:t>9min</w:t>
      </w:r>
      <w:r>
        <w:rPr>
          <w:rFonts w:hint="eastAsia" w:ascii="仿宋" w:hAnsi="仿宋" w:eastAsia="仿宋" w:cs="仿宋"/>
          <w:sz w:val="20"/>
          <w:szCs w:val="20"/>
        </w:rPr>
        <w:t xml:space="preserve">可调； </w:t>
      </w:r>
    </w:p>
    <w:p>
      <w:pPr>
        <w:rPr>
          <w:rFonts w:hint="eastAsia" w:ascii="仿宋" w:hAnsi="仿宋" w:eastAsia="仿宋" w:cs="仿宋"/>
          <w:sz w:val="20"/>
          <w:szCs w:val="20"/>
          <w:lang w:val="en-US" w:eastAsia="zh-CN"/>
        </w:rPr>
      </w:pPr>
      <w:r>
        <w:rPr>
          <w:rFonts w:hint="eastAsia" w:ascii="仿宋" w:hAnsi="仿宋" w:eastAsia="仿宋" w:cs="仿宋"/>
          <w:sz w:val="20"/>
          <w:szCs w:val="20"/>
        </w:rPr>
        <w:t>●配不同速度的磁力搅拌</w:t>
      </w:r>
      <w:r>
        <w:rPr>
          <w:rFonts w:hint="eastAsia" w:ascii="仿宋" w:hAnsi="仿宋" w:eastAsia="仿宋" w:cs="仿宋"/>
          <w:sz w:val="20"/>
          <w:szCs w:val="20"/>
          <w:lang w:eastAsia="zh-CN"/>
        </w:rPr>
        <w:t>和机械搅拌</w:t>
      </w:r>
      <w:r>
        <w:rPr>
          <w:rFonts w:hint="eastAsia" w:ascii="仿宋" w:hAnsi="仿宋" w:eastAsia="仿宋" w:cs="仿宋"/>
          <w:sz w:val="20"/>
          <w:szCs w:val="20"/>
        </w:rPr>
        <w:t xml:space="preserve">和样品升降装置，以便与微波联用； </w:t>
      </w:r>
      <w:r>
        <w:rPr>
          <w:rFonts w:hint="eastAsia" w:ascii="仿宋" w:hAnsi="仿宋" w:eastAsia="仿宋" w:cs="仿宋"/>
          <w:sz w:val="20"/>
          <w:szCs w:val="20"/>
          <w:lang w:val="en-US" w:eastAsia="zh-CN"/>
        </w:rPr>
        <w:t>速度可调：0~900转/分</w:t>
      </w:r>
    </w:p>
    <w:p>
      <w:pPr>
        <w:rPr>
          <w:rFonts w:hint="eastAsia" w:ascii="仿宋" w:hAnsi="仿宋" w:eastAsia="仿宋" w:cs="仿宋"/>
          <w:sz w:val="20"/>
          <w:szCs w:val="20"/>
        </w:rPr>
      </w:pPr>
      <w:r>
        <w:rPr>
          <w:rFonts w:hint="eastAsia" w:ascii="仿宋" w:hAnsi="仿宋" w:eastAsia="仿宋" w:cs="仿宋"/>
          <w:sz w:val="20"/>
          <w:szCs w:val="20"/>
        </w:rPr>
        <w:t xml:space="preserve">●仪器自带玻璃导管与氟胶导管，采用开放式反应体系，可安装滴液漏斗和冷凝管等进行回流反应，亦可以实现在线分析环境、生物、药物等样品； </w:t>
      </w:r>
    </w:p>
    <w:p>
      <w:pPr>
        <w:rPr>
          <w:rFonts w:hint="eastAsia" w:ascii="仿宋" w:hAnsi="仿宋" w:eastAsia="仿宋" w:cs="仿宋"/>
          <w:sz w:val="20"/>
          <w:szCs w:val="20"/>
        </w:rPr>
      </w:pPr>
      <w:r>
        <w:rPr>
          <w:rFonts w:hint="eastAsia" w:ascii="仿宋" w:hAnsi="仿宋" w:eastAsia="仿宋" w:cs="仿宋"/>
          <w:sz w:val="20"/>
          <w:szCs w:val="20"/>
        </w:rPr>
        <w:t xml:space="preserve">●具有超温和传感器异常保护，高可靠性、安全性； </w:t>
      </w:r>
    </w:p>
    <w:p>
      <w:pPr>
        <w:rPr>
          <w:rFonts w:hint="eastAsia" w:ascii="仿宋" w:hAnsi="仿宋" w:eastAsia="仿宋" w:cs="仿宋"/>
          <w:sz w:val="20"/>
          <w:szCs w:val="20"/>
        </w:rPr>
      </w:pPr>
      <w:r>
        <w:rPr>
          <w:rFonts w:hint="eastAsia" w:ascii="仿宋" w:hAnsi="仿宋" w:eastAsia="仿宋" w:cs="仿宋"/>
          <w:sz w:val="20"/>
          <w:szCs w:val="20"/>
        </w:rPr>
        <w:t>●采用不锈钢内外壳，防磁性，以防止磁性材料进入腔体，打破内件结构，经久耐用；</w:t>
      </w:r>
    </w:p>
    <w:p>
      <w:pPr>
        <w:rPr>
          <w:rFonts w:hint="eastAsia" w:ascii="仿宋" w:hAnsi="仿宋" w:eastAsia="仿宋" w:cs="仿宋"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方正兰亭粗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INPro-Medium">
    <w:altName w:val="Segoe Print"/>
    <w:panose1 w:val="00000000000000000000"/>
    <w:charset w:val="00"/>
    <w:family w:val="modern"/>
    <w:pitch w:val="default"/>
    <w:sig w:usb0="00000000" w:usb1="00000000" w:usb2="00000000" w:usb3="00000000" w:csb0="0000009F" w:csb1="00000000"/>
  </w:font>
  <w:font w:name="FZLanTingHei-L-GBK-M">
    <w:altName w:val="SimSun-ExtB"/>
    <w:panose1 w:val="02010600010101010101"/>
    <w:charset w:val="00"/>
    <w:family w:val="auto"/>
    <w:pitch w:val="default"/>
    <w:sig w:usb0="00000000" w:usb1="00000000" w:usb2="00000016" w:usb3="00000000" w:csb0="803F01BF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iknow_editor_icons">
    <w:altName w:val="Rom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82"/>
    <w:rsid w:val="00204A90"/>
    <w:rsid w:val="005C379B"/>
    <w:rsid w:val="009B2C82"/>
    <w:rsid w:val="00B77E16"/>
    <w:rsid w:val="00BD2FD2"/>
    <w:rsid w:val="00C667C1"/>
    <w:rsid w:val="00D00EFC"/>
    <w:rsid w:val="00E32DFB"/>
    <w:rsid w:val="00E8605D"/>
    <w:rsid w:val="264B3561"/>
    <w:rsid w:val="6A21583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unhideWhenUsed/>
    <w:uiPriority w:val="39"/>
    <w:pPr>
      <w:ind w:left="840" w:leftChars="400"/>
    </w:pPr>
  </w:style>
  <w:style w:type="paragraph" w:styleId="3">
    <w:name w:val="Plain Text"/>
    <w:basedOn w:val="1"/>
    <w:link w:val="20"/>
    <w:qFormat/>
    <w:uiPriority w:val="0"/>
    <w:rPr>
      <w:rFonts w:ascii="宋体" w:hAnsi="Courier New" w:cstheme="minorBidi"/>
      <w:szCs w:val="22"/>
    </w:rPr>
  </w:style>
  <w:style w:type="paragraph" w:styleId="4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unhideWhenUsed/>
    <w:uiPriority w:val="99"/>
    <w:rPr>
      <w:color w:val="000000"/>
      <w:u w:val="none"/>
    </w:rPr>
  </w:style>
  <w:style w:type="character" w:styleId="9">
    <w:name w:val="Emphasis"/>
    <w:basedOn w:val="7"/>
    <w:qFormat/>
    <w:uiPriority w:val="20"/>
  </w:style>
  <w:style w:type="character" w:styleId="10">
    <w:name w:val="HTML Definition"/>
    <w:basedOn w:val="7"/>
    <w:unhideWhenUsed/>
    <w:uiPriority w:val="99"/>
  </w:style>
  <w:style w:type="character" w:styleId="11">
    <w:name w:val="HTML Variable"/>
    <w:basedOn w:val="7"/>
    <w:unhideWhenUsed/>
    <w:uiPriority w:val="99"/>
  </w:style>
  <w:style w:type="character" w:styleId="12">
    <w:name w:val="Hyperlink"/>
    <w:basedOn w:val="7"/>
    <w:unhideWhenUsed/>
    <w:uiPriority w:val="99"/>
    <w:rPr>
      <w:color w:val="000000"/>
      <w:u w:val="none"/>
    </w:rPr>
  </w:style>
  <w:style w:type="character" w:styleId="13">
    <w:name w:val="HTML Code"/>
    <w:basedOn w:val="7"/>
    <w:unhideWhenUsed/>
    <w:uiPriority w:val="99"/>
    <w:rPr>
      <w:rFonts w:hint="eastAsia" w:ascii="Arial" w:hAnsi="Arial" w:cs="Arial"/>
      <w:sz w:val="20"/>
    </w:rPr>
  </w:style>
  <w:style w:type="character" w:styleId="14">
    <w:name w:val="HTML Cite"/>
    <w:basedOn w:val="7"/>
    <w:unhideWhenUsed/>
    <w:uiPriority w:val="99"/>
  </w:style>
  <w:style w:type="character" w:styleId="15">
    <w:name w:val="HTML Keyboard"/>
    <w:basedOn w:val="7"/>
    <w:unhideWhenUsed/>
    <w:uiPriority w:val="99"/>
    <w:rPr>
      <w:rFonts w:hint="default" w:ascii="Arial" w:hAnsi="Arial" w:cs="Arial"/>
      <w:sz w:val="20"/>
    </w:rPr>
  </w:style>
  <w:style w:type="character" w:styleId="16">
    <w:name w:val="HTML Sample"/>
    <w:basedOn w:val="7"/>
    <w:unhideWhenUsed/>
    <w:uiPriority w:val="99"/>
    <w:rPr>
      <w:rFonts w:hint="default" w:ascii="Arial" w:hAnsi="Arial" w:cs="Arial"/>
    </w:rPr>
  </w:style>
  <w:style w:type="character" w:customStyle="1" w:styleId="1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9">
    <w:name w:val="页脚 Char"/>
    <w:basedOn w:val="7"/>
    <w:link w:val="4"/>
    <w:uiPriority w:val="99"/>
    <w:rPr>
      <w:sz w:val="18"/>
      <w:szCs w:val="18"/>
    </w:rPr>
  </w:style>
  <w:style w:type="character" w:customStyle="1" w:styleId="20">
    <w:name w:val="纯文本 Char"/>
    <w:basedOn w:val="7"/>
    <w:link w:val="3"/>
    <w:qFormat/>
    <w:uiPriority w:val="0"/>
    <w:rPr>
      <w:rFonts w:ascii="宋体" w:hAnsi="Courier New" w:eastAsia="宋体"/>
    </w:rPr>
  </w:style>
  <w:style w:type="paragraph" w:customStyle="1" w:styleId="21">
    <w:name w:val="样式2"/>
    <w:basedOn w:val="2"/>
    <w:qFormat/>
    <w:uiPriority w:val="0"/>
    <w:pPr>
      <w:tabs>
        <w:tab w:val="right" w:leader="dot" w:pos="9458"/>
      </w:tabs>
      <w:ind w:left="420" w:leftChars="0"/>
      <w:jc w:val="left"/>
    </w:pPr>
    <w:rPr>
      <w:rFonts w:ascii="Arial" w:cs="Arial"/>
      <w:iCs/>
    </w:rPr>
  </w:style>
  <w:style w:type="character" w:customStyle="1" w:styleId="22">
    <w:name w:val="legend"/>
    <w:basedOn w:val="7"/>
    <w:uiPriority w:val="0"/>
    <w:rPr>
      <w:rFonts w:hint="default" w:ascii="Arial" w:hAnsi="Arial" w:cs="Arial"/>
      <w:b/>
      <w:color w:val="73B304"/>
      <w:sz w:val="14"/>
      <w:szCs w:val="14"/>
      <w:bdr w:val="none" w:color="auto" w:sz="0" w:space="0"/>
      <w:shd w:val="clear" w:fill="FFFFFF"/>
    </w:rPr>
  </w:style>
  <w:style w:type="character" w:customStyle="1" w:styleId="23">
    <w:name w:val="num"/>
    <w:basedOn w:val="7"/>
    <w:uiPriority w:val="0"/>
    <w:rPr>
      <w:b/>
      <w:color w:val="FF78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236</Words>
  <Characters>1351</Characters>
  <Lines>11</Lines>
  <Paragraphs>3</Paragraphs>
  <ScaleCrop>false</ScaleCrop>
  <LinksUpToDate>false</LinksUpToDate>
  <CharactersWithSpaces>1584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2016-08-06T01:18:00Z</dcterms:created>
  <dc:creator>zhangganmin</dc:creator>
  <cp:lastModifiedBy>xo</cp:lastModifiedBy>
  <dcterms:modified xsi:type="dcterms:W3CDTF">2016-11-17T13:30:55Z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