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r>
        <w:rPr>
          <w:rFonts w:hint="eastAsia"/>
          <w:b/>
          <w:sz w:val="48"/>
          <w:szCs w:val="48"/>
          <w:lang w:eastAsia="zh-CN"/>
        </w:rPr>
        <w:t>某</w:t>
      </w:r>
      <w:r>
        <w:rPr>
          <w:rFonts w:hint="eastAsia"/>
          <w:b/>
          <w:sz w:val="48"/>
          <w:szCs w:val="48"/>
        </w:rPr>
        <w:t>市空气质量污染监控和治理</w:t>
      </w:r>
    </w:p>
    <w:p>
      <w:pPr>
        <w:ind w:firstLine="964"/>
        <w:jc w:val="center"/>
        <w:rPr>
          <w:b/>
          <w:sz w:val="48"/>
          <w:szCs w:val="48"/>
        </w:rPr>
      </w:pPr>
      <w:r>
        <w:rPr>
          <w:rFonts w:hint="eastAsia"/>
          <w:b/>
          <w:sz w:val="48"/>
          <w:szCs w:val="48"/>
        </w:rPr>
        <w:t>解决方案</w:t>
      </w: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964"/>
        <w:jc w:val="center"/>
        <w:rPr>
          <w:b/>
          <w:sz w:val="48"/>
          <w:szCs w:val="48"/>
        </w:rPr>
      </w:pPr>
    </w:p>
    <w:p>
      <w:pPr>
        <w:ind w:firstLine="0" w:firstLineChars="0"/>
        <w:jc w:val="center"/>
      </w:pPr>
      <w:r>
        <w:rPr>
          <w:rFonts w:hint="eastAsia"/>
        </w:rPr>
        <w:t>天津智易时代科技发展有限公司</w:t>
      </w:r>
    </w:p>
    <w:p>
      <w:pPr>
        <w:ind w:firstLine="480"/>
      </w:pPr>
      <w:r>
        <w:rPr>
          <w:rFonts w:hint="eastAsia"/>
        </w:rPr>
        <w:t xml:space="preserve">                         2016年8月</w:t>
      </w:r>
    </w:p>
    <w:p>
      <w:pPr>
        <w:ind w:firstLine="480"/>
      </w:pPr>
    </w:p>
    <w:p>
      <w:pPr>
        <w:ind w:firstLine="480"/>
      </w:pPr>
    </w:p>
    <w:p>
      <w:pPr>
        <w:ind w:firstLine="0" w:firstLineChars="0"/>
        <w:jc w:val="center"/>
        <w:rPr>
          <w:rFonts w:ascii="黑体" w:hAnsi="黑体" w:eastAsia="黑体"/>
          <w:sz w:val="30"/>
          <w:szCs w:val="30"/>
        </w:rPr>
      </w:pPr>
      <w:r>
        <w:rPr>
          <w:rFonts w:hint="eastAsia" w:ascii="黑体" w:hAnsi="黑体" w:eastAsia="黑体"/>
          <w:sz w:val="30"/>
          <w:szCs w:val="30"/>
        </w:rPr>
        <w:t>目录</w:t>
      </w:r>
    </w:p>
    <w:p>
      <w:pPr>
        <w:pStyle w:val="10"/>
        <w:tabs>
          <w:tab w:val="clear" w:pos="840"/>
        </w:tabs>
        <w:rPr>
          <w:rFonts w:asciiTheme="minorHAnsi" w:hAnsiTheme="minorHAnsi" w:eastAsiaTheme="minorEastAsia" w:cstheme="minorBidi"/>
          <w:sz w:val="21"/>
        </w:rPr>
      </w:pPr>
      <w:r>
        <w:rPr>
          <w:rFonts w:ascii="黑体" w:hAnsi="黑体" w:eastAsia="黑体"/>
          <w:sz w:val="30"/>
          <w:szCs w:val="30"/>
        </w:rPr>
        <w:fldChar w:fldCharType="begin"/>
      </w:r>
      <w:r>
        <w:rPr>
          <w:rFonts w:ascii="黑体" w:hAnsi="黑体" w:eastAsia="黑体"/>
          <w:sz w:val="30"/>
          <w:szCs w:val="30"/>
        </w:rPr>
        <w:instrText xml:space="preserve"> TOC \o "1-3" \h \z \u </w:instrText>
      </w:r>
      <w:r>
        <w:rPr>
          <w:rFonts w:ascii="黑体" w:hAnsi="黑体" w:eastAsia="黑体"/>
          <w:sz w:val="30"/>
          <w:szCs w:val="30"/>
        </w:rPr>
        <w:fldChar w:fldCharType="separate"/>
      </w:r>
      <w:r>
        <w:fldChar w:fldCharType="begin"/>
      </w:r>
      <w:r>
        <w:instrText xml:space="preserve"> HYPERLINK \l "_Toc459646653" </w:instrText>
      </w:r>
      <w:r>
        <w:fldChar w:fldCharType="separate"/>
      </w:r>
      <w:r>
        <w:rPr>
          <w:rStyle w:val="14"/>
          <w:rFonts w:hint="eastAsia" w:ascii="黑体"/>
        </w:rPr>
        <w:t>一、</w:t>
      </w:r>
      <w:r>
        <w:rPr>
          <w:rStyle w:val="14"/>
          <w:rFonts w:hint="eastAsia"/>
        </w:rPr>
        <w:t>概述</w:t>
      </w:r>
      <w:r>
        <w:tab/>
      </w:r>
      <w:r>
        <w:fldChar w:fldCharType="begin"/>
      </w:r>
      <w:r>
        <w:instrText xml:space="preserve"> PAGEREF _Toc459646653 \h </w:instrText>
      </w:r>
      <w:r>
        <w:fldChar w:fldCharType="separate"/>
      </w:r>
      <w:r>
        <w:t>3</w:t>
      </w:r>
      <w:r>
        <w:fldChar w:fldCharType="end"/>
      </w:r>
      <w:r>
        <w:fldChar w:fldCharType="end"/>
      </w:r>
    </w:p>
    <w:p>
      <w:pPr>
        <w:pStyle w:val="10"/>
        <w:tabs>
          <w:tab w:val="left" w:pos="600"/>
          <w:tab w:val="clear" w:pos="840"/>
        </w:tabs>
        <w:rPr>
          <w:rFonts w:asciiTheme="minorHAnsi" w:hAnsiTheme="minorHAnsi" w:eastAsiaTheme="minorEastAsia" w:cstheme="minorBidi"/>
          <w:sz w:val="21"/>
        </w:rPr>
      </w:pPr>
      <w:r>
        <w:fldChar w:fldCharType="begin"/>
      </w:r>
      <w:r>
        <w:instrText xml:space="preserve"> HYPERLINK \l "_Toc459646654" </w:instrText>
      </w:r>
      <w:r>
        <w:fldChar w:fldCharType="separate"/>
      </w:r>
      <w:r>
        <w:rPr>
          <w:rStyle w:val="14"/>
          <w:rFonts w:hint="eastAsia" w:ascii="黑体"/>
        </w:rPr>
        <w:t>二、</w:t>
      </w:r>
      <w:r>
        <w:rPr>
          <w:rFonts w:asciiTheme="minorHAnsi" w:hAnsiTheme="minorHAnsi" w:eastAsiaTheme="minorEastAsia" w:cstheme="minorBidi"/>
          <w:sz w:val="21"/>
        </w:rPr>
        <w:tab/>
      </w:r>
      <w:r>
        <w:rPr>
          <w:rStyle w:val="14"/>
          <w:rFonts w:hint="eastAsia"/>
        </w:rPr>
        <w:t>总体方案</w:t>
      </w:r>
      <w:r>
        <w:tab/>
      </w:r>
      <w:r>
        <w:fldChar w:fldCharType="begin"/>
      </w:r>
      <w:r>
        <w:instrText xml:space="preserve"> PAGEREF _Toc459646654 \h </w:instrText>
      </w:r>
      <w:r>
        <w:fldChar w:fldCharType="separate"/>
      </w:r>
      <w:r>
        <w:t>4</w:t>
      </w:r>
      <w:r>
        <w:fldChar w:fldCharType="end"/>
      </w:r>
      <w:r>
        <w:fldChar w:fldCharType="end"/>
      </w:r>
    </w:p>
    <w:p>
      <w:pPr>
        <w:pStyle w:val="10"/>
        <w:tabs>
          <w:tab w:val="left" w:pos="600"/>
          <w:tab w:val="clear" w:pos="840"/>
        </w:tabs>
        <w:rPr>
          <w:rFonts w:asciiTheme="minorHAnsi" w:hAnsiTheme="minorHAnsi" w:eastAsiaTheme="minorEastAsia" w:cstheme="minorBidi"/>
          <w:sz w:val="21"/>
        </w:rPr>
      </w:pPr>
      <w:r>
        <w:fldChar w:fldCharType="begin"/>
      </w:r>
      <w:r>
        <w:instrText xml:space="preserve"> HYPERLINK \l "_Toc459646655" </w:instrText>
      </w:r>
      <w:r>
        <w:fldChar w:fldCharType="separate"/>
      </w:r>
      <w:r>
        <w:rPr>
          <w:rStyle w:val="14"/>
          <w:rFonts w:hint="eastAsia" w:ascii="黑体"/>
        </w:rPr>
        <w:t>三、</w:t>
      </w:r>
      <w:r>
        <w:rPr>
          <w:rFonts w:asciiTheme="minorHAnsi" w:hAnsiTheme="minorHAnsi" w:eastAsiaTheme="minorEastAsia" w:cstheme="minorBidi"/>
          <w:sz w:val="21"/>
        </w:rPr>
        <w:tab/>
      </w:r>
      <w:r>
        <w:rPr>
          <w:rStyle w:val="14"/>
          <w:rFonts w:hint="eastAsia"/>
        </w:rPr>
        <w:t>系统简介</w:t>
      </w:r>
      <w:r>
        <w:tab/>
      </w:r>
      <w:r>
        <w:fldChar w:fldCharType="begin"/>
      </w:r>
      <w:r>
        <w:instrText xml:space="preserve"> PAGEREF _Toc459646655 \h </w:instrText>
      </w:r>
      <w:r>
        <w:fldChar w:fldCharType="separate"/>
      </w:r>
      <w:r>
        <w:t>6</w:t>
      </w:r>
      <w:r>
        <w:fldChar w:fldCharType="end"/>
      </w:r>
      <w:r>
        <w:fldChar w:fldCharType="end"/>
      </w:r>
    </w:p>
    <w:p>
      <w:pPr>
        <w:pStyle w:val="11"/>
        <w:tabs>
          <w:tab w:val="left" w:pos="1020"/>
          <w:tab w:val="right" w:leader="dot" w:pos="8296"/>
        </w:tabs>
        <w:ind w:firstLine="480"/>
        <w:rPr>
          <w:rFonts w:asciiTheme="minorHAnsi" w:hAnsiTheme="minorHAnsi" w:eastAsiaTheme="minorEastAsia" w:cstheme="minorBidi"/>
          <w:sz w:val="21"/>
        </w:rPr>
      </w:pPr>
      <w:r>
        <w:fldChar w:fldCharType="begin"/>
      </w:r>
      <w:r>
        <w:instrText xml:space="preserve"> HYPERLINK \l "_Toc459646656" </w:instrText>
      </w:r>
      <w:r>
        <w:fldChar w:fldCharType="separate"/>
      </w:r>
      <w:r>
        <w:rPr>
          <w:rStyle w:val="14"/>
          <w:rFonts w:ascii="黑体" w:eastAsia="黑体"/>
        </w:rPr>
        <w:t>3.1</w:t>
      </w:r>
      <w:r>
        <w:rPr>
          <w:rFonts w:asciiTheme="minorHAnsi" w:hAnsiTheme="minorHAnsi" w:eastAsiaTheme="minorEastAsia" w:cstheme="minorBidi"/>
          <w:sz w:val="21"/>
        </w:rPr>
        <w:tab/>
      </w:r>
      <w:r>
        <w:rPr>
          <w:rStyle w:val="14"/>
          <w:rFonts w:hint="eastAsia"/>
        </w:rPr>
        <w:t>系统测量参数</w:t>
      </w:r>
      <w:r>
        <w:tab/>
      </w:r>
      <w:r>
        <w:fldChar w:fldCharType="begin"/>
      </w:r>
      <w:r>
        <w:instrText xml:space="preserve"> PAGEREF _Toc459646656 \h </w:instrText>
      </w:r>
      <w:r>
        <w:fldChar w:fldCharType="separate"/>
      </w:r>
      <w:r>
        <w:t>6</w:t>
      </w:r>
      <w:r>
        <w:fldChar w:fldCharType="end"/>
      </w:r>
      <w:r>
        <w:fldChar w:fldCharType="end"/>
      </w:r>
    </w:p>
    <w:p>
      <w:pPr>
        <w:pStyle w:val="11"/>
        <w:tabs>
          <w:tab w:val="left" w:pos="1020"/>
          <w:tab w:val="right" w:leader="dot" w:pos="8296"/>
        </w:tabs>
        <w:ind w:firstLine="480"/>
        <w:rPr>
          <w:rFonts w:asciiTheme="minorHAnsi" w:hAnsiTheme="minorHAnsi" w:eastAsiaTheme="minorEastAsia" w:cstheme="minorBidi"/>
          <w:sz w:val="21"/>
        </w:rPr>
      </w:pPr>
      <w:r>
        <w:fldChar w:fldCharType="begin"/>
      </w:r>
      <w:r>
        <w:instrText xml:space="preserve"> HYPERLINK \l "_Toc459646657" </w:instrText>
      </w:r>
      <w:r>
        <w:fldChar w:fldCharType="separate"/>
      </w:r>
      <w:r>
        <w:rPr>
          <w:rStyle w:val="14"/>
          <w:rFonts w:ascii="黑体" w:eastAsia="黑体"/>
        </w:rPr>
        <w:t>3.2</w:t>
      </w:r>
      <w:r>
        <w:rPr>
          <w:rFonts w:asciiTheme="minorHAnsi" w:hAnsiTheme="minorHAnsi" w:eastAsiaTheme="minorEastAsia" w:cstheme="minorBidi"/>
          <w:sz w:val="21"/>
        </w:rPr>
        <w:tab/>
      </w:r>
      <w:r>
        <w:rPr>
          <w:rStyle w:val="14"/>
          <w:rFonts w:hint="eastAsia"/>
        </w:rPr>
        <w:t>系统拓扑图</w:t>
      </w:r>
      <w:r>
        <w:tab/>
      </w:r>
      <w:r>
        <w:fldChar w:fldCharType="begin"/>
      </w:r>
      <w:r>
        <w:instrText xml:space="preserve"> PAGEREF _Toc459646657 \h </w:instrText>
      </w:r>
      <w:r>
        <w:fldChar w:fldCharType="separate"/>
      </w:r>
      <w:r>
        <w:t>6</w:t>
      </w:r>
      <w:r>
        <w:fldChar w:fldCharType="end"/>
      </w:r>
      <w:r>
        <w:fldChar w:fldCharType="end"/>
      </w:r>
    </w:p>
    <w:p>
      <w:pPr>
        <w:pStyle w:val="11"/>
        <w:tabs>
          <w:tab w:val="left" w:pos="1020"/>
          <w:tab w:val="right" w:leader="dot" w:pos="8296"/>
        </w:tabs>
        <w:ind w:firstLine="480"/>
        <w:rPr>
          <w:rFonts w:asciiTheme="minorHAnsi" w:hAnsiTheme="minorHAnsi" w:eastAsiaTheme="minorEastAsia" w:cstheme="minorBidi"/>
          <w:sz w:val="21"/>
        </w:rPr>
      </w:pPr>
      <w:r>
        <w:fldChar w:fldCharType="begin"/>
      </w:r>
      <w:r>
        <w:instrText xml:space="preserve"> HYPERLINK \l "_Toc459646658" </w:instrText>
      </w:r>
      <w:r>
        <w:fldChar w:fldCharType="separate"/>
      </w:r>
      <w:r>
        <w:rPr>
          <w:rStyle w:val="14"/>
          <w:rFonts w:ascii="黑体" w:eastAsia="黑体"/>
        </w:rPr>
        <w:t>3.3</w:t>
      </w:r>
      <w:r>
        <w:rPr>
          <w:rFonts w:asciiTheme="minorHAnsi" w:hAnsiTheme="minorHAnsi" w:eastAsiaTheme="minorEastAsia" w:cstheme="minorBidi"/>
          <w:sz w:val="21"/>
        </w:rPr>
        <w:tab/>
      </w:r>
      <w:r>
        <w:rPr>
          <w:rStyle w:val="14"/>
          <w:rFonts w:hint="eastAsia"/>
        </w:rPr>
        <w:t>系统组成</w:t>
      </w:r>
      <w:r>
        <w:tab/>
      </w:r>
      <w:r>
        <w:fldChar w:fldCharType="begin"/>
      </w:r>
      <w:r>
        <w:instrText xml:space="preserve"> PAGEREF _Toc459646658 \h </w:instrText>
      </w:r>
      <w:r>
        <w:fldChar w:fldCharType="separate"/>
      </w:r>
      <w:r>
        <w:t>7</w:t>
      </w:r>
      <w:r>
        <w:fldChar w:fldCharType="end"/>
      </w:r>
      <w:r>
        <w:fldChar w:fldCharType="end"/>
      </w:r>
    </w:p>
    <w:p>
      <w:pPr>
        <w:pStyle w:val="10"/>
        <w:tabs>
          <w:tab w:val="clear" w:pos="840"/>
        </w:tabs>
        <w:rPr>
          <w:rFonts w:asciiTheme="minorHAnsi" w:hAnsiTheme="minorHAnsi" w:eastAsiaTheme="minorEastAsia" w:cstheme="minorBidi"/>
          <w:sz w:val="21"/>
        </w:rPr>
      </w:pPr>
      <w:r>
        <w:fldChar w:fldCharType="begin"/>
      </w:r>
      <w:r>
        <w:instrText xml:space="preserve"> HYPERLINK \l "_Toc459646659" </w:instrText>
      </w:r>
      <w:r>
        <w:fldChar w:fldCharType="separate"/>
      </w:r>
      <w:r>
        <w:rPr>
          <w:rStyle w:val="14"/>
          <w:rFonts w:hint="eastAsia" w:ascii="黑体"/>
        </w:rPr>
        <w:t>四、</w:t>
      </w:r>
      <w:r>
        <w:rPr>
          <w:rStyle w:val="14"/>
          <w:rFonts w:hint="eastAsia"/>
        </w:rPr>
        <w:t>产品介绍</w:t>
      </w:r>
      <w:r>
        <w:tab/>
      </w:r>
      <w:r>
        <w:fldChar w:fldCharType="begin"/>
      </w:r>
      <w:r>
        <w:instrText xml:space="preserve"> PAGEREF _Toc459646659 \h </w:instrText>
      </w:r>
      <w:r>
        <w:fldChar w:fldCharType="separate"/>
      </w:r>
      <w:r>
        <w:t>9</w:t>
      </w:r>
      <w:r>
        <w:fldChar w:fldCharType="end"/>
      </w:r>
      <w:r>
        <w:fldChar w:fldCharType="end"/>
      </w:r>
    </w:p>
    <w:p>
      <w:pPr>
        <w:pStyle w:val="11"/>
        <w:tabs>
          <w:tab w:val="left" w:pos="1020"/>
          <w:tab w:val="right" w:leader="dot" w:pos="8296"/>
        </w:tabs>
        <w:ind w:firstLine="480"/>
        <w:rPr>
          <w:rFonts w:asciiTheme="minorHAnsi" w:hAnsiTheme="minorHAnsi" w:eastAsiaTheme="minorEastAsia" w:cstheme="minorBidi"/>
          <w:sz w:val="21"/>
        </w:rPr>
      </w:pPr>
      <w:r>
        <w:fldChar w:fldCharType="begin"/>
      </w:r>
      <w:r>
        <w:instrText xml:space="preserve"> HYPERLINK \l "_Toc459646660" </w:instrText>
      </w:r>
      <w:r>
        <w:fldChar w:fldCharType="separate"/>
      </w:r>
      <w:r>
        <w:rPr>
          <w:rStyle w:val="14"/>
          <w:rFonts w:ascii="黑体" w:eastAsia="黑体"/>
        </w:rPr>
        <w:t>4.1</w:t>
      </w:r>
      <w:r>
        <w:rPr>
          <w:rFonts w:asciiTheme="minorHAnsi" w:hAnsiTheme="minorHAnsi" w:eastAsiaTheme="minorEastAsia" w:cstheme="minorBidi"/>
          <w:sz w:val="21"/>
        </w:rPr>
        <w:tab/>
      </w:r>
      <w:r>
        <w:rPr>
          <w:rStyle w:val="14"/>
        </w:rPr>
        <w:t>ZWIN-30</w:t>
      </w:r>
      <w:r>
        <w:rPr>
          <w:rStyle w:val="14"/>
          <w:rFonts w:hint="eastAsia"/>
        </w:rPr>
        <w:t>环境空气质量自动监测系统</w:t>
      </w:r>
      <w:r>
        <w:tab/>
      </w:r>
      <w:r>
        <w:fldChar w:fldCharType="begin"/>
      </w:r>
      <w:r>
        <w:instrText xml:space="preserve"> PAGEREF _Toc459646660 \h </w:instrText>
      </w:r>
      <w:r>
        <w:fldChar w:fldCharType="separate"/>
      </w:r>
      <w:r>
        <w:t>9</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"_Toc459646661" </w:instrText>
      </w:r>
      <w:r>
        <w:fldChar w:fldCharType="separate"/>
      </w:r>
      <w:r>
        <w:rPr>
          <w:rStyle w:val="14"/>
          <w:rFonts w:hint="eastAsia"/>
        </w:rPr>
        <w:t>概述</w:t>
      </w:r>
      <w:r>
        <w:tab/>
      </w:r>
      <w:r>
        <w:fldChar w:fldCharType="begin"/>
      </w:r>
      <w:r>
        <w:instrText xml:space="preserve"> PAGEREF _Toc459646661 \h </w:instrText>
      </w:r>
      <w:r>
        <w:fldChar w:fldCharType="separate"/>
      </w:r>
      <w:r>
        <w:t>9</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"_Toc459646662" </w:instrText>
      </w:r>
      <w:r>
        <w:fldChar w:fldCharType="separate"/>
      </w:r>
      <w:r>
        <w:rPr>
          <w:rStyle w:val="14"/>
          <w:rFonts w:hint="eastAsia"/>
        </w:rPr>
        <w:t>模块组成</w:t>
      </w:r>
      <w:r>
        <w:tab/>
      </w:r>
      <w:r>
        <w:fldChar w:fldCharType="begin"/>
      </w:r>
      <w:r>
        <w:instrText xml:space="preserve"> PAGEREF _Toc459646662 \h </w:instrText>
      </w:r>
      <w:r>
        <w:fldChar w:fldCharType="separate"/>
      </w:r>
      <w:r>
        <w:t>9</w:t>
      </w:r>
      <w:r>
        <w:fldChar w:fldCharType="end"/>
      </w:r>
      <w:r>
        <w:fldChar w:fldCharType="end"/>
      </w:r>
    </w:p>
    <w:p>
      <w:pPr>
        <w:pStyle w:val="11"/>
        <w:tabs>
          <w:tab w:val="left" w:pos="1020"/>
          <w:tab w:val="right" w:leader="dot" w:pos="8296"/>
        </w:tabs>
        <w:ind w:firstLine="480"/>
        <w:rPr>
          <w:rFonts w:asciiTheme="minorHAnsi" w:hAnsiTheme="minorHAnsi" w:eastAsiaTheme="minorEastAsia" w:cstheme="minorBidi"/>
          <w:sz w:val="21"/>
        </w:rPr>
      </w:pPr>
      <w:r>
        <w:fldChar w:fldCharType="begin"/>
      </w:r>
      <w:r>
        <w:instrText xml:space="preserve"> HYPERLINK \l "_Toc459646663" </w:instrText>
      </w:r>
      <w:r>
        <w:fldChar w:fldCharType="separate"/>
      </w:r>
      <w:r>
        <w:rPr>
          <w:rStyle w:val="14"/>
          <w:rFonts w:ascii="黑体" w:eastAsia="黑体"/>
        </w:rPr>
        <w:t>4.2</w:t>
      </w:r>
      <w:r>
        <w:rPr>
          <w:rFonts w:asciiTheme="minorHAnsi" w:hAnsiTheme="minorHAnsi" w:eastAsiaTheme="minorEastAsia" w:cstheme="minorBidi"/>
          <w:sz w:val="21"/>
        </w:rPr>
        <w:tab/>
      </w:r>
      <w:r>
        <w:rPr>
          <w:rStyle w:val="14"/>
        </w:rPr>
        <w:t>ZWIN-HDAQ8600</w:t>
      </w:r>
      <w:r>
        <w:rPr>
          <w:rStyle w:val="14"/>
          <w:rFonts w:hint="eastAsia"/>
        </w:rPr>
        <w:t>空气质量数据采集仪</w:t>
      </w:r>
      <w:r>
        <w:tab/>
      </w:r>
      <w:r>
        <w:fldChar w:fldCharType="begin"/>
      </w:r>
      <w:r>
        <w:instrText xml:space="preserve"> PAGEREF _Toc459646663 \h </w:instrText>
      </w:r>
      <w:r>
        <w:fldChar w:fldCharType="separate"/>
      </w:r>
      <w:r>
        <w:t>10</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"_Toc459646664" </w:instrText>
      </w:r>
      <w:r>
        <w:fldChar w:fldCharType="separate"/>
      </w:r>
      <w:r>
        <w:rPr>
          <w:rStyle w:val="14"/>
          <w:rFonts w:hint="eastAsia"/>
        </w:rPr>
        <w:t>概述</w:t>
      </w:r>
      <w:r>
        <w:tab/>
      </w:r>
      <w:r>
        <w:fldChar w:fldCharType="begin"/>
      </w:r>
      <w:r>
        <w:instrText xml:space="preserve"> PAGEREF _Toc459646664 \h </w:instrText>
      </w:r>
      <w:r>
        <w:fldChar w:fldCharType="separate"/>
      </w:r>
      <w:r>
        <w:t>10</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"_Toc459646665" </w:instrText>
      </w:r>
      <w:r>
        <w:fldChar w:fldCharType="separate"/>
      </w:r>
      <w:r>
        <w:rPr>
          <w:rStyle w:val="14"/>
          <w:rFonts w:hint="eastAsia"/>
        </w:rPr>
        <w:t>功能特点</w:t>
      </w:r>
      <w:r>
        <w:tab/>
      </w:r>
      <w:r>
        <w:fldChar w:fldCharType="begin"/>
      </w:r>
      <w:r>
        <w:instrText xml:space="preserve"> PAGEREF _Toc459646665 \h </w:instrText>
      </w:r>
      <w:r>
        <w:fldChar w:fldCharType="separate"/>
      </w:r>
      <w:r>
        <w:t>10</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"_Toc459646666" </w:instrText>
      </w:r>
      <w:r>
        <w:fldChar w:fldCharType="separate"/>
      </w:r>
      <w:r>
        <w:rPr>
          <w:rStyle w:val="14"/>
          <w:rFonts w:hint="eastAsia"/>
        </w:rPr>
        <w:t>技术指标</w:t>
      </w:r>
      <w:r>
        <w:tab/>
      </w:r>
      <w:r>
        <w:fldChar w:fldCharType="begin"/>
      </w:r>
      <w:r>
        <w:instrText xml:space="preserve"> PAGEREF _Toc459646666 \h </w:instrText>
      </w:r>
      <w:r>
        <w:fldChar w:fldCharType="separate"/>
      </w:r>
      <w:r>
        <w:t>11</w:t>
      </w:r>
      <w:r>
        <w:fldChar w:fldCharType="end"/>
      </w:r>
      <w:r>
        <w:fldChar w:fldCharType="end"/>
      </w:r>
    </w:p>
    <w:p>
      <w:pPr>
        <w:pStyle w:val="11"/>
        <w:tabs>
          <w:tab w:val="left" w:pos="1020"/>
          <w:tab w:val="right" w:leader="dot" w:pos="8296"/>
        </w:tabs>
        <w:ind w:firstLine="480"/>
        <w:rPr>
          <w:rFonts w:asciiTheme="minorHAnsi" w:hAnsiTheme="minorHAnsi" w:eastAsiaTheme="minorEastAsia" w:cstheme="minorBidi"/>
          <w:sz w:val="21"/>
        </w:rPr>
      </w:pPr>
      <w:r>
        <w:fldChar w:fldCharType="begin"/>
      </w:r>
      <w:r>
        <w:instrText xml:space="preserve"> HYPERLINK \l "_Toc459646667" </w:instrText>
      </w:r>
      <w:r>
        <w:fldChar w:fldCharType="separate"/>
      </w:r>
      <w:r>
        <w:rPr>
          <w:rStyle w:val="14"/>
          <w:rFonts w:ascii="黑体" w:eastAsia="黑体"/>
        </w:rPr>
        <w:t>4.3</w:t>
      </w:r>
      <w:r>
        <w:rPr>
          <w:rFonts w:asciiTheme="minorHAnsi" w:hAnsiTheme="minorHAnsi" w:eastAsiaTheme="minorEastAsia" w:cstheme="minorBidi"/>
          <w:sz w:val="21"/>
        </w:rPr>
        <w:tab/>
      </w:r>
      <w:r>
        <w:rPr>
          <w:rStyle w:val="14"/>
          <w:rFonts w:hint="eastAsia"/>
        </w:rPr>
        <w:t>空气质量在线监测平台</w:t>
      </w:r>
      <w:r>
        <w:tab/>
      </w:r>
      <w:r>
        <w:fldChar w:fldCharType="begin"/>
      </w:r>
      <w:r>
        <w:instrText xml:space="preserve"> PAGEREF _Toc459646667 \h </w:instrText>
      </w:r>
      <w:r>
        <w:fldChar w:fldCharType="separate"/>
      </w:r>
      <w:r>
        <w:t>12</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"_Toc459646668" </w:instrText>
      </w:r>
      <w:r>
        <w:fldChar w:fldCharType="separate"/>
      </w:r>
      <w:r>
        <w:rPr>
          <w:rStyle w:val="14"/>
          <w:rFonts w:hint="eastAsia"/>
        </w:rPr>
        <w:t>系统功能</w:t>
      </w:r>
      <w:r>
        <w:tab/>
      </w:r>
      <w:r>
        <w:fldChar w:fldCharType="begin"/>
      </w:r>
      <w:r>
        <w:instrText xml:space="preserve"> PAGEREF _Toc459646668 \h </w:instrText>
      </w:r>
      <w:r>
        <w:fldChar w:fldCharType="separate"/>
      </w:r>
      <w:r>
        <w:t>12</w:t>
      </w:r>
      <w:r>
        <w:fldChar w:fldCharType="end"/>
      </w:r>
      <w:r>
        <w:fldChar w:fldCharType="end"/>
      </w:r>
    </w:p>
    <w:p>
      <w:pPr>
        <w:pStyle w:val="5"/>
        <w:tabs>
          <w:tab w:val="right" w:leader="dot" w:pos="8296"/>
        </w:tabs>
        <w:ind w:left="480" w:firstLine="480"/>
        <w:rPr>
          <w:rFonts w:asciiTheme="minorHAnsi" w:hAnsiTheme="minorHAnsi" w:eastAsiaTheme="minorEastAsia" w:cstheme="minorBidi"/>
          <w:sz w:val="21"/>
        </w:rPr>
      </w:pPr>
      <w:r>
        <w:fldChar w:fldCharType="begin"/>
      </w:r>
      <w:r>
        <w:instrText xml:space="preserve"> HYPERLINK \l "_Toc459646669" </w:instrText>
      </w:r>
      <w:r>
        <w:fldChar w:fldCharType="separate"/>
      </w:r>
      <w:r>
        <w:rPr>
          <w:rStyle w:val="14"/>
          <w:rFonts w:hint="eastAsia"/>
        </w:rPr>
        <w:t>界面展示</w:t>
      </w:r>
      <w:r>
        <w:tab/>
      </w:r>
      <w:r>
        <w:fldChar w:fldCharType="begin"/>
      </w:r>
      <w:r>
        <w:instrText xml:space="preserve"> PAGEREF _Toc459646669 \h </w:instrText>
      </w:r>
      <w:r>
        <w:fldChar w:fldCharType="separate"/>
      </w:r>
      <w:r>
        <w:t>13</w:t>
      </w:r>
      <w:r>
        <w:fldChar w:fldCharType="end"/>
      </w:r>
      <w:r>
        <w:fldChar w:fldCharType="end"/>
      </w:r>
    </w:p>
    <w:p>
      <w:pPr>
        <w:ind w:firstLine="0" w:firstLineChars="0"/>
        <w:jc w:val="center"/>
        <w:rPr>
          <w:rFonts w:ascii="黑体" w:hAnsi="黑体" w:eastAsia="黑体"/>
          <w:sz w:val="30"/>
          <w:szCs w:val="30"/>
        </w:rPr>
      </w:pPr>
      <w:r>
        <w:rPr>
          <w:rFonts w:ascii="黑体" w:hAnsi="黑体" w:eastAsia="黑体"/>
          <w:sz w:val="30"/>
          <w:szCs w:val="30"/>
        </w:rPr>
        <w:fldChar w:fldCharType="end"/>
      </w:r>
    </w:p>
    <w:p>
      <w:pPr>
        <w:ind w:firstLine="0" w:firstLineChars="0"/>
        <w:jc w:val="center"/>
        <w:rPr>
          <w:rFonts w:ascii="黑体" w:hAnsi="黑体" w:eastAsia="黑体"/>
          <w:sz w:val="30"/>
          <w:szCs w:val="30"/>
        </w:rPr>
      </w:pPr>
    </w:p>
    <w:p>
      <w:pPr>
        <w:ind w:firstLine="0" w:firstLineChars="0"/>
        <w:jc w:val="center"/>
        <w:rPr>
          <w:rFonts w:ascii="黑体" w:hAnsi="黑体" w:eastAsia="黑体"/>
          <w:sz w:val="30"/>
          <w:szCs w:val="30"/>
        </w:rPr>
      </w:pPr>
    </w:p>
    <w:p>
      <w:pPr>
        <w:ind w:firstLine="0" w:firstLineChars="0"/>
        <w:jc w:val="center"/>
        <w:rPr>
          <w:rFonts w:ascii="黑体" w:hAnsi="黑体" w:eastAsia="黑体"/>
          <w:sz w:val="30"/>
          <w:szCs w:val="30"/>
        </w:rPr>
      </w:pPr>
    </w:p>
    <w:p>
      <w:pPr>
        <w:ind w:firstLine="0" w:firstLineChars="0"/>
        <w:jc w:val="center"/>
        <w:rPr>
          <w:rFonts w:ascii="黑体" w:hAnsi="黑体" w:eastAsia="黑体"/>
          <w:sz w:val="30"/>
          <w:szCs w:val="30"/>
        </w:rPr>
      </w:pPr>
    </w:p>
    <w:p>
      <w:pPr>
        <w:ind w:firstLine="0" w:firstLineChars="0"/>
        <w:jc w:val="center"/>
        <w:rPr>
          <w:rFonts w:ascii="黑体" w:hAnsi="黑体" w:eastAsia="黑体"/>
          <w:sz w:val="30"/>
          <w:szCs w:val="30"/>
        </w:rPr>
      </w:pPr>
    </w:p>
    <w:p>
      <w:pPr>
        <w:pStyle w:val="2"/>
        <w:numPr>
          <w:ilvl w:val="0"/>
          <w:numId w:val="2"/>
        </w:numPr>
      </w:pPr>
      <w:bookmarkStart w:id="0" w:name="_Toc459646653"/>
      <w:r>
        <w:rPr>
          <w:rFonts w:hint="eastAsia"/>
        </w:rPr>
        <w:t>概述</w:t>
      </w:r>
      <w:bookmarkEnd w:id="0"/>
    </w:p>
    <w:p>
      <w:pPr>
        <w:pStyle w:val="19"/>
        <w:ind w:firstLine="480"/>
        <w:rPr>
          <w:rFonts w:ascii="宋体" w:hAnsi="宋体" w:eastAsia="宋体" w:cs="宋体"/>
          <w:sz w:val="24"/>
          <w:szCs w:val="24"/>
        </w:rPr>
      </w:pPr>
      <w:r>
        <w:rPr>
          <w:rFonts w:hint="eastAsia" w:ascii="宋体" w:hAnsi="宋体" w:eastAsia="宋体" w:cs="宋体"/>
          <w:sz w:val="24"/>
          <w:szCs w:val="24"/>
        </w:rPr>
        <w:t>近年来，空气环境污染日益严重，党中央、国务院高度重视大气污染防治，2013年国务院出台《关于印发大气污染防治行动计划的通知》（国发〔2013〕37号）。提出大气污染防治的总体要求、奋斗目标和政策举措。其中明确指出要建立监测预警应急体系，妥善应对污染天气。各省市，各地区针对本地大气特点和环境空气污染现状，也制定了相应的计划，主要实现环境空气质量预报预警体系的建立，突出重点、分类指导、多管齐下、科学施策，把调整优化结构、强化创新驱动和保护环境生态结合起来，用硬措施完成硬任务，确保防治工作早见成效，促进改善民生，培育新的经济增长点。</w:t>
      </w:r>
    </w:p>
    <w:p>
      <w:pPr>
        <w:ind w:firstLine="480"/>
        <w:rPr>
          <w:rFonts w:ascii="宋体" w:hAnsi="宋体"/>
          <w:szCs w:val="24"/>
        </w:rPr>
      </w:pPr>
      <w:r>
        <w:rPr>
          <w:rFonts w:hint="eastAsia" w:ascii="宋体" w:hAnsi="宋体" w:cs="Arial"/>
          <w:color w:val="000000"/>
          <w:szCs w:val="24"/>
          <w:shd w:val="clear" w:color="auto" w:fill="FFFFFF"/>
          <w:lang w:eastAsia="zh-CN"/>
        </w:rPr>
        <w:t>某</w:t>
      </w:r>
      <w:r>
        <w:rPr>
          <w:rFonts w:ascii="宋体" w:hAnsi="宋体" w:cs="Arial"/>
          <w:color w:val="000000"/>
          <w:szCs w:val="24"/>
          <w:shd w:val="clear" w:color="auto" w:fill="FFFFFF"/>
        </w:rPr>
        <w:t>市隶属河北省石家庄市，位于河北省西南部，</w:t>
      </w:r>
      <w:r>
        <w:rPr>
          <w:rFonts w:hint="eastAsia" w:ascii="宋体" w:hAnsi="宋体"/>
          <w:szCs w:val="24"/>
        </w:rPr>
        <w:t>从当前情况下来看，</w:t>
      </w:r>
      <w:r>
        <w:rPr>
          <w:rFonts w:hint="eastAsia" w:ascii="宋体" w:hAnsi="宋体"/>
          <w:szCs w:val="24"/>
          <w:lang w:eastAsia="zh-CN"/>
        </w:rPr>
        <w:t>某</w:t>
      </w:r>
      <w:r>
        <w:rPr>
          <w:rFonts w:hint="eastAsia" w:ascii="宋体" w:hAnsi="宋体"/>
          <w:szCs w:val="24"/>
        </w:rPr>
        <w:t>市地区的大气污染形势十分严峻。尽管从2006年到2013年的8年时间里，空气质量为优的天数除2013年以外整体呈不断增加的趋势，而在在2013年全年，空气质量为优的天数为0天，而重度污染天数则达到了惊人的86天。2015年，针对污染日益严重的趋势，河北省痛下决心铁腕“治霾”，发布了《河北省大气污染深入治理三年(2015-2017)行动方案》，对全省范围内的大气污染治理提出了更高的要求，石家庄市作为污染较严重的城市之一，面临着紧迫而严峻的大气污染治理形势。</w:t>
      </w:r>
    </w:p>
    <w:p>
      <w:pPr>
        <w:ind w:firstLine="480"/>
        <w:jc w:val="center"/>
        <w:rPr>
          <w:rFonts w:ascii="宋体" w:hAnsi="宋体"/>
          <w:szCs w:val="24"/>
        </w:rPr>
      </w:pPr>
      <w:r>
        <w:rPr>
          <w:rFonts w:hint="eastAsia" w:ascii="宋体" w:hAnsi="宋体"/>
          <w:szCs w:val="24"/>
        </w:rPr>
        <w:t xml:space="preserve">表1  </w:t>
      </w:r>
      <w:r>
        <w:rPr>
          <w:rFonts w:hint="eastAsia" w:ascii="宋体" w:hAnsi="宋体"/>
          <w:szCs w:val="24"/>
          <w:lang w:eastAsia="zh-CN"/>
        </w:rPr>
        <w:t>某</w:t>
      </w:r>
      <w:r>
        <w:rPr>
          <w:rFonts w:hint="eastAsia" w:ascii="宋体" w:hAnsi="宋体"/>
          <w:szCs w:val="24"/>
        </w:rPr>
        <w:t>市2006～2013年空气质量等级分布</w:t>
      </w:r>
    </w:p>
    <w:tbl>
      <w:tblPr>
        <w:tblStyle w:val="15"/>
        <w:tblW w:w="8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800"/>
        <w:gridCol w:w="799"/>
        <w:gridCol w:w="799"/>
        <w:gridCol w:w="799"/>
        <w:gridCol w:w="799"/>
        <w:gridCol w:w="799"/>
        <w:gridCol w:w="799"/>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trPr>
        <w:tc>
          <w:tcPr>
            <w:tcW w:w="1834" w:type="dxa"/>
          </w:tcPr>
          <w:p>
            <w:pPr>
              <w:ind w:firstLine="0" w:firstLineChars="0"/>
              <w:rPr>
                <w:rFonts w:ascii="宋体" w:hAnsi="宋体"/>
                <w:szCs w:val="24"/>
              </w:rPr>
            </w:pPr>
            <w:r>
              <w:rPr>
                <w:rFonts w:hint="eastAsia" w:ascii="宋体" w:hAnsi="宋体"/>
                <w:szCs w:val="24"/>
              </w:rPr>
              <mc:AlternateContent>
                <mc:Choice Requires="wpg">
                  <w:drawing>
                    <wp:anchor distT="0" distB="0" distL="114300" distR="114300" simplePos="0" relativeHeight="251659264" behindDoc="0" locked="0" layoutInCell="1" allowOverlap="1">
                      <wp:simplePos x="0" y="0"/>
                      <wp:positionH relativeFrom="column">
                        <wp:posOffset>-214630</wp:posOffset>
                      </wp:positionH>
                      <wp:positionV relativeFrom="paragraph">
                        <wp:posOffset>-8255</wp:posOffset>
                      </wp:positionV>
                      <wp:extent cx="1319530" cy="723900"/>
                      <wp:effectExtent l="0" t="0" r="33020" b="19685"/>
                      <wp:wrapNone/>
                      <wp:docPr id="10" name="组合 10"/>
                      <wp:cNvGraphicFramePr/>
                      <a:graphic xmlns:a="http://schemas.openxmlformats.org/drawingml/2006/main">
                        <a:graphicData uri="http://schemas.microsoft.com/office/word/2010/wordprocessingGroup">
                          <wpg:wgp>
                            <wpg:cNvGrpSpPr/>
                            <wpg:grpSpPr>
                              <a:xfrm>
                                <a:off x="0" y="0"/>
                                <a:ext cx="1319776" cy="723701"/>
                                <a:chOff x="-212" y="0"/>
                                <a:chExt cx="1846" cy="1195"/>
                              </a:xfrm>
                            </wpg:grpSpPr>
                            <wps:wsp>
                              <wps:cNvPr id="11" name="__TH_L16"/>
                              <wps:cNvCnPr/>
                              <wps:spPr bwMode="auto">
                                <a:xfrm>
                                  <a:off x="846" y="0"/>
                                  <a:ext cx="785" cy="1195"/>
                                </a:xfrm>
                                <a:prstGeom prst="line">
                                  <a:avLst/>
                                </a:prstGeom>
                                <a:noFill/>
                                <a:ln w="6350">
                                  <a:solidFill>
                                    <a:srgbClr val="000000"/>
                                  </a:solidFill>
                                  <a:round/>
                                </a:ln>
                              </wps:spPr>
                              <wps:bodyPr/>
                            </wps:wsp>
                            <wps:wsp>
                              <wps:cNvPr id="12" name="__TH_L17"/>
                              <wps:cNvCnPr/>
                              <wps:spPr bwMode="auto">
                                <a:xfrm>
                                  <a:off x="0" y="573"/>
                                  <a:ext cx="1631" cy="622"/>
                                </a:xfrm>
                                <a:prstGeom prst="line">
                                  <a:avLst/>
                                </a:prstGeom>
                                <a:noFill/>
                                <a:ln w="6350">
                                  <a:solidFill>
                                    <a:srgbClr val="000000"/>
                                  </a:solidFill>
                                  <a:round/>
                                </a:ln>
                              </wps:spPr>
                              <wps:bodyPr/>
                            </wps:wsp>
                            <wps:wsp>
                              <wps:cNvPr id="13" name="__TH_B1118"/>
                              <wps:cNvSpPr txBox="1">
                                <a:spLocks noChangeArrowheads="1"/>
                              </wps:cNvSpPr>
                              <wps:spPr bwMode="auto">
                                <a:xfrm>
                                  <a:off x="729" y="29"/>
                                  <a:ext cx="905" cy="442"/>
                                </a:xfrm>
                                <a:prstGeom prst="rect">
                                  <a:avLst/>
                                </a:prstGeom>
                                <a:noFill/>
                                <a:ln>
                                  <a:noFill/>
                                </a:ln>
                              </wps:spPr>
                              <wps:txbx>
                                <w:txbxContent>
                                  <w:p>
                                    <w:pPr>
                                      <w:snapToGrid w:val="0"/>
                                      <w:ind w:firstLine="382" w:firstLineChars="182"/>
                                      <w:rPr>
                                        <w:sz w:val="21"/>
                                        <w:szCs w:val="21"/>
                                      </w:rPr>
                                    </w:pPr>
                                    <w:r>
                                      <w:rPr>
                                        <w:rFonts w:hint="eastAsia"/>
                                        <w:sz w:val="21"/>
                                        <w:szCs w:val="21"/>
                                      </w:rPr>
                                      <w:t>年份</w:t>
                                    </w:r>
                                  </w:p>
                                </w:txbxContent>
                              </wps:txbx>
                              <wps:bodyPr rot="0" vert="horz" wrap="square" lIns="0" tIns="0" rIns="0" bIns="0" anchor="t" anchorCtr="0" upright="1">
                                <a:noAutofit/>
                              </wps:bodyPr>
                            </wps:wsp>
                            <wps:wsp>
                              <wps:cNvPr id="14" name="__TH_B1219"/>
                              <wps:cNvSpPr txBox="1">
                                <a:spLocks noChangeArrowheads="1"/>
                              </wps:cNvSpPr>
                              <wps:spPr bwMode="auto">
                                <a:xfrm>
                                  <a:off x="1382" y="444"/>
                                  <a:ext cx="252" cy="263"/>
                                </a:xfrm>
                                <a:prstGeom prst="rect">
                                  <a:avLst/>
                                </a:prstGeom>
                                <a:noFill/>
                                <a:ln>
                                  <a:noFill/>
                                </a:ln>
                              </wps:spPr>
                              <wps:txbx>
                                <w:txbxContent>
                                  <w:p>
                                    <w:pPr>
                                      <w:snapToGrid w:val="0"/>
                                      <w:ind w:firstLine="480"/>
                                    </w:pPr>
                                    <w:r>
                                      <w:rPr>
                                        <w:rFonts w:hint="eastAsia"/>
                                      </w:rPr>
                                      <w:t>份</w:t>
                                    </w:r>
                                  </w:p>
                                </w:txbxContent>
                              </wps:txbx>
                              <wps:bodyPr rot="0" vert="horz" wrap="square" lIns="0" tIns="0" rIns="0" bIns="0" anchor="t" anchorCtr="0" upright="1">
                                <a:noAutofit/>
                              </wps:bodyPr>
                            </wps:wsp>
                            <wps:wsp>
                              <wps:cNvPr id="15" name="__TH_B2120"/>
                              <wps:cNvSpPr txBox="1">
                                <a:spLocks noChangeArrowheads="1"/>
                              </wps:cNvSpPr>
                              <wps:spPr bwMode="auto">
                                <a:xfrm>
                                  <a:off x="363" y="182"/>
                                  <a:ext cx="562" cy="417"/>
                                </a:xfrm>
                                <a:prstGeom prst="rect">
                                  <a:avLst/>
                                </a:prstGeom>
                                <a:noFill/>
                                <a:ln>
                                  <a:noFill/>
                                </a:ln>
                              </wps:spPr>
                              <wps:txbx>
                                <w:txbxContent>
                                  <w:p>
                                    <w:pPr>
                                      <w:snapToGrid w:val="0"/>
                                      <w:ind w:firstLine="0" w:firstLineChars="0"/>
                                      <w:rPr>
                                        <w:sz w:val="21"/>
                                        <w:szCs w:val="21"/>
                                      </w:rPr>
                                    </w:pPr>
                                    <w:r>
                                      <w:rPr>
                                        <w:rFonts w:hint="eastAsia"/>
                                        <w:sz w:val="21"/>
                                        <w:szCs w:val="21"/>
                                      </w:rPr>
                                      <w:t>天数</w:t>
                                    </w:r>
                                  </w:p>
                                </w:txbxContent>
                              </wps:txbx>
                              <wps:bodyPr rot="0" vert="horz" wrap="square" lIns="0" tIns="0" rIns="0" bIns="0" anchor="t" anchorCtr="0" upright="1">
                                <a:noAutofit/>
                              </wps:bodyPr>
                            </wps:wsp>
                            <wps:wsp>
                              <wps:cNvPr id="17" name="__TH_B3122"/>
                              <wps:cNvSpPr txBox="1">
                                <a:spLocks noChangeArrowheads="1"/>
                              </wps:cNvSpPr>
                              <wps:spPr bwMode="auto">
                                <a:xfrm>
                                  <a:off x="-212" y="786"/>
                                  <a:ext cx="1137" cy="409"/>
                                </a:xfrm>
                                <a:prstGeom prst="rect">
                                  <a:avLst/>
                                </a:prstGeom>
                                <a:noFill/>
                                <a:ln>
                                  <a:noFill/>
                                </a:ln>
                              </wps:spPr>
                              <wps:txbx>
                                <w:txbxContent>
                                  <w:p>
                                    <w:pPr>
                                      <w:snapToGrid w:val="0"/>
                                      <w:ind w:firstLine="420"/>
                                      <w:rPr>
                                        <w:sz w:val="21"/>
                                        <w:szCs w:val="21"/>
                                      </w:rPr>
                                    </w:pPr>
                                    <w:r>
                                      <w:rPr>
                                        <w:rFonts w:hint="eastAsia"/>
                                        <w:sz w:val="21"/>
                                        <w:szCs w:val="21"/>
                                      </w:rPr>
                                      <w:t>等级</w:t>
                                    </w:r>
                                  </w:p>
                                </w:txbxContent>
                              </wps:txbx>
                              <wps:bodyPr rot="0" vert="horz" wrap="square" lIns="0" tIns="0" rIns="0" bIns="0" anchor="t" anchorCtr="0" upright="1">
                                <a:noAutofit/>
                              </wps:bodyPr>
                            </wps:wsp>
                            <wps:wsp>
                              <wps:cNvPr id="18" name="__TH_B3223"/>
                              <wps:cNvSpPr txBox="1">
                                <a:spLocks noChangeArrowheads="1"/>
                              </wps:cNvSpPr>
                              <wps:spPr bwMode="auto">
                                <a:xfrm>
                                  <a:off x="787" y="868"/>
                                  <a:ext cx="138" cy="262"/>
                                </a:xfrm>
                                <a:prstGeom prst="rect">
                                  <a:avLst/>
                                </a:prstGeom>
                                <a:noFill/>
                                <a:ln>
                                  <a:noFill/>
                                </a:ln>
                              </wps:spPr>
                              <wps:txbx>
                                <w:txbxContent>
                                  <w:p>
                                    <w:pPr>
                                      <w:snapToGrid w:val="0"/>
                                      <w:ind w:firstLine="480"/>
                                    </w:pPr>
                                    <w:r>
                                      <w:rPr>
                                        <w:rFonts w:hint="eastAsia"/>
                                      </w:rPr>
                                      <w:t>级</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6.9pt;margin-top:-0.65pt;height:57pt;width:103.9pt;z-index:251659264;mso-width-relative:page;mso-height-relative:page;" coordorigin="-212,0" coordsize="1846,1195" o:gfxdata="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RyPBL9kAAAAKAQAADwAAAAAAAAABACAAAAAiAAAAZHJzL2Rvd25y&#10;ZXYueG1sUEsBAhQAFAAAAAgAh07iQGGJJEiMAwAAmxAAAA4AAAAAAAAAAQAgAAAAKAEAAGRycy9l&#10;Mm9Eb2MueG1sUEsFBgAAAAAGAAYAWQEAACYHAAAAAA==&#10;">
                      <o:lock v:ext="edit" aspectratio="f"/>
                      <v:line id="__TH_L16" o:spid="_x0000_s1026" o:spt="20" style="position:absolute;left:846;top:0;height:1195;width:785;"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_TH_L17" o:spid="_x0000_s1026" o:spt="20" style="position:absolute;left:0;top:573;height:622;width:1631;" filled="f" stroked="t" coordsize="21600,21600" o:gfxdata="UEsDBAoAAAAAAIdO4kAAAAAAAAAAAAAAAAAEAAAAZHJzL1BLAwQUAAAACACHTuJAdwV8f7kAAADb&#10;AAAADwAAAGRycy9kb3ducmV2LnhtbEVPTUsDMRC9C/0PYQrebLKFFVmb9iBs6cWDVTwPm3F3cTNZ&#10;kumm+uuNIHibx/uc3eHqJ7VQTGNgC9XGgCLughu5t/D22t49gEqC7HAKTBa+KMFhv7rZYeNC5hda&#10;ztKrEsKpQQuDyNxonbqBPKZNmIkL9xGiRykw9tpFzCXcT3przL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FfH+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_TH_B1118" o:spid="_x0000_s1026" o:spt="202" type="#_x0000_t202" style="position:absolute;left:729;top:29;height:442;width:90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ind w:firstLine="382" w:firstLineChars="182"/>
                                <w:rPr>
                                  <w:sz w:val="21"/>
                                  <w:szCs w:val="21"/>
                                </w:rPr>
                              </w:pPr>
                              <w:r>
                                <w:rPr>
                                  <w:rFonts w:hint="eastAsia"/>
                                  <w:sz w:val="21"/>
                                  <w:szCs w:val="21"/>
                                </w:rPr>
                                <w:t>年份</w:t>
                              </w:r>
                            </w:p>
                          </w:txbxContent>
                        </v:textbox>
                      </v:shape>
                      <v:shape id="__TH_B1219" o:spid="_x0000_s1026" o:spt="202" type="#_x0000_t202" style="position:absolute;left:1382;top:444;height:263;width:252;"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ind w:firstLine="480"/>
                              </w:pPr>
                              <w:r>
                                <w:rPr>
                                  <w:rFonts w:hint="eastAsia"/>
                                </w:rPr>
                                <w:t>份</w:t>
                              </w:r>
                            </w:p>
                          </w:txbxContent>
                        </v:textbox>
                      </v:shape>
                      <v:shape id="__TH_B2120" o:spid="_x0000_s1026" o:spt="202" type="#_x0000_t202" style="position:absolute;left:363;top:182;height:417;width:562;"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ind w:firstLine="0" w:firstLineChars="0"/>
                                <w:rPr>
                                  <w:sz w:val="21"/>
                                  <w:szCs w:val="21"/>
                                </w:rPr>
                              </w:pPr>
                              <w:r>
                                <w:rPr>
                                  <w:rFonts w:hint="eastAsia"/>
                                  <w:sz w:val="21"/>
                                  <w:szCs w:val="21"/>
                                </w:rPr>
                                <w:t>天数</w:t>
                              </w:r>
                            </w:p>
                          </w:txbxContent>
                        </v:textbox>
                      </v:shape>
                      <v:shape id="__TH_B3122" o:spid="_x0000_s1026" o:spt="202" type="#_x0000_t202" style="position:absolute;left:-212;top:786;height:409;width:1137;"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ind w:firstLine="420"/>
                                <w:rPr>
                                  <w:sz w:val="21"/>
                                  <w:szCs w:val="21"/>
                                </w:rPr>
                              </w:pPr>
                              <w:r>
                                <w:rPr>
                                  <w:rFonts w:hint="eastAsia"/>
                                  <w:sz w:val="21"/>
                                  <w:szCs w:val="21"/>
                                </w:rPr>
                                <w:t>等级</w:t>
                              </w:r>
                            </w:p>
                          </w:txbxContent>
                        </v:textbox>
                      </v:shape>
                      <v:shape id="__TH_B3223" o:spid="_x0000_s1026" o:spt="202" type="#_x0000_t202" style="position:absolute;left:787;top:868;height:262;width:138;"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ind w:firstLine="480"/>
                              </w:pPr>
                              <w:r>
                                <w:rPr>
                                  <w:rFonts w:hint="eastAsia"/>
                                </w:rPr>
                                <w:t>级</w:t>
                              </w:r>
                            </w:p>
                          </w:txbxContent>
                        </v:textbox>
                      </v:shape>
                    </v:group>
                  </w:pict>
                </mc:Fallback>
              </mc:AlternateContent>
            </w:r>
          </w:p>
        </w:tc>
        <w:tc>
          <w:tcPr>
            <w:tcW w:w="800" w:type="dxa"/>
          </w:tcPr>
          <w:p>
            <w:pPr>
              <w:ind w:firstLine="0" w:firstLineChars="0"/>
              <w:rPr>
                <w:rFonts w:ascii="宋体" w:hAnsi="宋体"/>
                <w:sz w:val="21"/>
                <w:szCs w:val="21"/>
              </w:rPr>
            </w:pPr>
            <w:r>
              <w:rPr>
                <w:rFonts w:hint="eastAsia" w:ascii="宋体" w:hAnsi="宋体"/>
                <w:sz w:val="21"/>
                <w:szCs w:val="21"/>
              </w:rPr>
              <w:t>2006</w:t>
            </w:r>
          </w:p>
        </w:tc>
        <w:tc>
          <w:tcPr>
            <w:tcW w:w="799" w:type="dxa"/>
          </w:tcPr>
          <w:p>
            <w:pPr>
              <w:ind w:firstLine="0" w:firstLineChars="0"/>
              <w:rPr>
                <w:rFonts w:ascii="宋体" w:hAnsi="宋体"/>
                <w:sz w:val="21"/>
                <w:szCs w:val="21"/>
              </w:rPr>
            </w:pPr>
            <w:r>
              <w:rPr>
                <w:rFonts w:hint="eastAsia" w:ascii="宋体" w:hAnsi="宋体"/>
                <w:sz w:val="21"/>
                <w:szCs w:val="21"/>
              </w:rPr>
              <w:t>2007</w:t>
            </w:r>
          </w:p>
        </w:tc>
        <w:tc>
          <w:tcPr>
            <w:tcW w:w="799" w:type="dxa"/>
          </w:tcPr>
          <w:p>
            <w:pPr>
              <w:ind w:firstLine="0" w:firstLineChars="0"/>
              <w:rPr>
                <w:rFonts w:ascii="宋体" w:hAnsi="宋体"/>
                <w:sz w:val="21"/>
                <w:szCs w:val="21"/>
              </w:rPr>
            </w:pPr>
            <w:r>
              <w:rPr>
                <w:rFonts w:hint="eastAsia" w:ascii="宋体" w:hAnsi="宋体"/>
                <w:sz w:val="21"/>
                <w:szCs w:val="21"/>
              </w:rPr>
              <w:t>2008</w:t>
            </w:r>
          </w:p>
        </w:tc>
        <w:tc>
          <w:tcPr>
            <w:tcW w:w="799" w:type="dxa"/>
          </w:tcPr>
          <w:p>
            <w:pPr>
              <w:ind w:firstLine="0" w:firstLineChars="0"/>
              <w:rPr>
                <w:rFonts w:ascii="宋体" w:hAnsi="宋体"/>
                <w:sz w:val="21"/>
                <w:szCs w:val="21"/>
              </w:rPr>
            </w:pPr>
            <w:r>
              <w:rPr>
                <w:rFonts w:hint="eastAsia" w:ascii="宋体" w:hAnsi="宋体"/>
                <w:sz w:val="21"/>
                <w:szCs w:val="21"/>
              </w:rPr>
              <w:t>2009</w:t>
            </w:r>
          </w:p>
        </w:tc>
        <w:tc>
          <w:tcPr>
            <w:tcW w:w="799" w:type="dxa"/>
          </w:tcPr>
          <w:p>
            <w:pPr>
              <w:ind w:firstLine="0" w:firstLineChars="0"/>
              <w:rPr>
                <w:rFonts w:ascii="宋体" w:hAnsi="宋体"/>
                <w:sz w:val="21"/>
                <w:szCs w:val="21"/>
              </w:rPr>
            </w:pPr>
            <w:r>
              <w:rPr>
                <w:rFonts w:hint="eastAsia" w:ascii="宋体" w:hAnsi="宋体"/>
                <w:sz w:val="21"/>
                <w:szCs w:val="21"/>
              </w:rPr>
              <w:t>2010</w:t>
            </w:r>
          </w:p>
        </w:tc>
        <w:tc>
          <w:tcPr>
            <w:tcW w:w="799" w:type="dxa"/>
          </w:tcPr>
          <w:p>
            <w:pPr>
              <w:ind w:firstLine="0" w:firstLineChars="0"/>
              <w:rPr>
                <w:rFonts w:ascii="宋体" w:hAnsi="宋体"/>
                <w:sz w:val="21"/>
                <w:szCs w:val="21"/>
              </w:rPr>
            </w:pPr>
            <w:r>
              <w:rPr>
                <w:rFonts w:hint="eastAsia" w:ascii="宋体" w:hAnsi="宋体"/>
                <w:sz w:val="21"/>
                <w:szCs w:val="21"/>
              </w:rPr>
              <w:t>2011</w:t>
            </w:r>
          </w:p>
        </w:tc>
        <w:tc>
          <w:tcPr>
            <w:tcW w:w="799" w:type="dxa"/>
          </w:tcPr>
          <w:p>
            <w:pPr>
              <w:ind w:firstLine="0" w:firstLineChars="0"/>
              <w:rPr>
                <w:rFonts w:ascii="宋体" w:hAnsi="宋体"/>
                <w:sz w:val="21"/>
                <w:szCs w:val="21"/>
              </w:rPr>
            </w:pPr>
            <w:r>
              <w:rPr>
                <w:rFonts w:hint="eastAsia" w:ascii="宋体" w:hAnsi="宋体"/>
                <w:sz w:val="21"/>
                <w:szCs w:val="21"/>
              </w:rPr>
              <w:t>2012</w:t>
            </w:r>
          </w:p>
        </w:tc>
        <w:tc>
          <w:tcPr>
            <w:tcW w:w="799" w:type="dxa"/>
          </w:tcPr>
          <w:p>
            <w:pPr>
              <w:ind w:firstLine="0" w:firstLineChars="0"/>
              <w:rPr>
                <w:rFonts w:ascii="宋体" w:hAnsi="宋体"/>
                <w:sz w:val="21"/>
                <w:szCs w:val="21"/>
              </w:rPr>
            </w:pPr>
            <w:r>
              <w:rPr>
                <w:rFonts w:hint="eastAsia" w:ascii="宋体" w:hAnsi="宋体"/>
                <w:sz w:val="21"/>
                <w:szCs w:val="21"/>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4" w:type="dxa"/>
          </w:tcPr>
          <w:p>
            <w:pPr>
              <w:ind w:firstLine="0" w:firstLineChars="0"/>
              <w:jc w:val="center"/>
              <w:rPr>
                <w:rFonts w:ascii="宋体" w:hAnsi="宋体"/>
                <w:sz w:val="21"/>
                <w:szCs w:val="21"/>
              </w:rPr>
            </w:pPr>
            <w:r>
              <w:rPr>
                <w:rFonts w:hint="eastAsia" w:ascii="宋体" w:hAnsi="宋体"/>
                <w:sz w:val="21"/>
                <w:szCs w:val="21"/>
              </w:rPr>
              <w:t>优</w:t>
            </w:r>
          </w:p>
        </w:tc>
        <w:tc>
          <w:tcPr>
            <w:tcW w:w="800" w:type="dxa"/>
          </w:tcPr>
          <w:p>
            <w:pPr>
              <w:ind w:firstLine="0" w:firstLineChars="0"/>
              <w:jc w:val="center"/>
              <w:rPr>
                <w:rFonts w:ascii="宋体" w:hAnsi="宋体"/>
                <w:sz w:val="21"/>
                <w:szCs w:val="21"/>
              </w:rPr>
            </w:pPr>
            <w:r>
              <w:rPr>
                <w:rFonts w:hint="eastAsia" w:ascii="宋体" w:hAnsi="宋体"/>
                <w:sz w:val="21"/>
                <w:szCs w:val="21"/>
              </w:rPr>
              <w:t>5</w:t>
            </w:r>
          </w:p>
        </w:tc>
        <w:tc>
          <w:tcPr>
            <w:tcW w:w="799" w:type="dxa"/>
          </w:tcPr>
          <w:p>
            <w:pPr>
              <w:ind w:firstLine="0" w:firstLineChars="0"/>
              <w:jc w:val="center"/>
              <w:rPr>
                <w:rFonts w:ascii="宋体" w:hAnsi="宋体"/>
                <w:sz w:val="21"/>
                <w:szCs w:val="21"/>
              </w:rPr>
            </w:pPr>
            <w:r>
              <w:rPr>
                <w:rFonts w:hint="eastAsia" w:ascii="宋体" w:hAnsi="宋体"/>
                <w:sz w:val="21"/>
                <w:szCs w:val="21"/>
              </w:rPr>
              <w:t>16</w:t>
            </w:r>
          </w:p>
        </w:tc>
        <w:tc>
          <w:tcPr>
            <w:tcW w:w="799" w:type="dxa"/>
          </w:tcPr>
          <w:p>
            <w:pPr>
              <w:ind w:firstLine="0" w:firstLineChars="0"/>
              <w:jc w:val="center"/>
              <w:rPr>
                <w:rFonts w:ascii="宋体" w:hAnsi="宋体"/>
                <w:sz w:val="21"/>
                <w:szCs w:val="21"/>
              </w:rPr>
            </w:pPr>
            <w:r>
              <w:rPr>
                <w:rFonts w:hint="eastAsia" w:ascii="宋体" w:hAnsi="宋体"/>
                <w:sz w:val="21"/>
                <w:szCs w:val="21"/>
              </w:rPr>
              <w:t>26</w:t>
            </w:r>
          </w:p>
        </w:tc>
        <w:tc>
          <w:tcPr>
            <w:tcW w:w="799" w:type="dxa"/>
          </w:tcPr>
          <w:p>
            <w:pPr>
              <w:ind w:firstLine="0" w:firstLineChars="0"/>
              <w:jc w:val="center"/>
              <w:rPr>
                <w:rFonts w:ascii="宋体" w:hAnsi="宋体"/>
                <w:sz w:val="21"/>
                <w:szCs w:val="21"/>
              </w:rPr>
            </w:pPr>
            <w:r>
              <w:rPr>
                <w:rFonts w:hint="eastAsia" w:ascii="宋体" w:hAnsi="宋体"/>
                <w:sz w:val="21"/>
                <w:szCs w:val="21"/>
              </w:rPr>
              <w:t>35</w:t>
            </w:r>
          </w:p>
        </w:tc>
        <w:tc>
          <w:tcPr>
            <w:tcW w:w="799" w:type="dxa"/>
          </w:tcPr>
          <w:p>
            <w:pPr>
              <w:ind w:firstLine="0" w:firstLineChars="0"/>
              <w:jc w:val="center"/>
              <w:rPr>
                <w:rFonts w:ascii="宋体" w:hAnsi="宋体"/>
                <w:sz w:val="21"/>
                <w:szCs w:val="21"/>
              </w:rPr>
            </w:pPr>
            <w:r>
              <w:rPr>
                <w:rFonts w:hint="eastAsia" w:ascii="宋体" w:hAnsi="宋体"/>
                <w:sz w:val="21"/>
                <w:szCs w:val="21"/>
              </w:rPr>
              <w:t>30</w:t>
            </w:r>
          </w:p>
        </w:tc>
        <w:tc>
          <w:tcPr>
            <w:tcW w:w="799" w:type="dxa"/>
          </w:tcPr>
          <w:p>
            <w:pPr>
              <w:ind w:firstLine="0" w:firstLineChars="0"/>
              <w:jc w:val="center"/>
              <w:rPr>
                <w:rFonts w:ascii="宋体" w:hAnsi="宋体"/>
                <w:sz w:val="21"/>
                <w:szCs w:val="21"/>
              </w:rPr>
            </w:pPr>
            <w:r>
              <w:rPr>
                <w:rFonts w:hint="eastAsia" w:ascii="宋体" w:hAnsi="宋体"/>
                <w:sz w:val="21"/>
                <w:szCs w:val="21"/>
              </w:rPr>
              <w:t>32</w:t>
            </w:r>
          </w:p>
        </w:tc>
        <w:tc>
          <w:tcPr>
            <w:tcW w:w="799" w:type="dxa"/>
          </w:tcPr>
          <w:p>
            <w:pPr>
              <w:ind w:firstLine="0" w:firstLineChars="0"/>
              <w:jc w:val="center"/>
              <w:rPr>
                <w:rFonts w:ascii="宋体" w:hAnsi="宋体"/>
                <w:sz w:val="21"/>
                <w:szCs w:val="21"/>
              </w:rPr>
            </w:pPr>
            <w:r>
              <w:rPr>
                <w:rFonts w:hint="eastAsia" w:ascii="宋体" w:hAnsi="宋体"/>
                <w:sz w:val="21"/>
                <w:szCs w:val="21"/>
              </w:rPr>
              <w:t>58</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4" w:type="dxa"/>
          </w:tcPr>
          <w:p>
            <w:pPr>
              <w:ind w:firstLine="0" w:firstLineChars="0"/>
              <w:jc w:val="center"/>
              <w:rPr>
                <w:rFonts w:ascii="宋体" w:hAnsi="宋体"/>
                <w:sz w:val="21"/>
                <w:szCs w:val="21"/>
              </w:rPr>
            </w:pPr>
            <w:r>
              <w:rPr>
                <w:rFonts w:hint="eastAsia" w:ascii="宋体" w:hAnsi="宋体"/>
                <w:sz w:val="21"/>
                <w:szCs w:val="21"/>
              </w:rPr>
              <w:t>良</w:t>
            </w:r>
          </w:p>
        </w:tc>
        <w:tc>
          <w:tcPr>
            <w:tcW w:w="800" w:type="dxa"/>
          </w:tcPr>
          <w:p>
            <w:pPr>
              <w:ind w:firstLine="0" w:firstLineChars="0"/>
              <w:jc w:val="center"/>
              <w:rPr>
                <w:rFonts w:ascii="宋体" w:hAnsi="宋体"/>
                <w:sz w:val="21"/>
                <w:szCs w:val="21"/>
              </w:rPr>
            </w:pPr>
            <w:r>
              <w:rPr>
                <w:rFonts w:hint="eastAsia" w:ascii="宋体" w:hAnsi="宋体"/>
                <w:sz w:val="21"/>
                <w:szCs w:val="21"/>
              </w:rPr>
              <w:t>210</w:t>
            </w:r>
          </w:p>
        </w:tc>
        <w:tc>
          <w:tcPr>
            <w:tcW w:w="799" w:type="dxa"/>
          </w:tcPr>
          <w:p>
            <w:pPr>
              <w:ind w:firstLine="0" w:firstLineChars="0"/>
              <w:jc w:val="center"/>
              <w:rPr>
                <w:rFonts w:ascii="宋体" w:hAnsi="宋体"/>
                <w:sz w:val="21"/>
                <w:szCs w:val="21"/>
              </w:rPr>
            </w:pPr>
            <w:r>
              <w:rPr>
                <w:rFonts w:hint="eastAsia" w:ascii="宋体" w:hAnsi="宋体"/>
                <w:sz w:val="21"/>
                <w:szCs w:val="21"/>
              </w:rPr>
              <w:t>186</w:t>
            </w:r>
          </w:p>
        </w:tc>
        <w:tc>
          <w:tcPr>
            <w:tcW w:w="799" w:type="dxa"/>
          </w:tcPr>
          <w:p>
            <w:pPr>
              <w:ind w:firstLine="0" w:firstLineChars="0"/>
              <w:jc w:val="center"/>
              <w:rPr>
                <w:rFonts w:ascii="宋体" w:hAnsi="宋体"/>
                <w:sz w:val="21"/>
                <w:szCs w:val="21"/>
              </w:rPr>
            </w:pPr>
            <w:r>
              <w:rPr>
                <w:rFonts w:hint="eastAsia" w:ascii="宋体" w:hAnsi="宋体"/>
                <w:sz w:val="21"/>
                <w:szCs w:val="21"/>
              </w:rPr>
              <w:t>191</w:t>
            </w:r>
          </w:p>
        </w:tc>
        <w:tc>
          <w:tcPr>
            <w:tcW w:w="799" w:type="dxa"/>
          </w:tcPr>
          <w:p>
            <w:pPr>
              <w:ind w:firstLine="0" w:firstLineChars="0"/>
              <w:jc w:val="center"/>
              <w:rPr>
                <w:rFonts w:ascii="宋体" w:hAnsi="宋体"/>
                <w:sz w:val="21"/>
                <w:szCs w:val="21"/>
              </w:rPr>
            </w:pPr>
            <w:r>
              <w:rPr>
                <w:rFonts w:hint="eastAsia" w:ascii="宋体" w:hAnsi="宋体"/>
                <w:sz w:val="21"/>
                <w:szCs w:val="21"/>
              </w:rPr>
              <w:t>213</w:t>
            </w:r>
          </w:p>
        </w:tc>
        <w:tc>
          <w:tcPr>
            <w:tcW w:w="799" w:type="dxa"/>
          </w:tcPr>
          <w:p>
            <w:pPr>
              <w:ind w:firstLine="0" w:firstLineChars="0"/>
              <w:jc w:val="center"/>
              <w:rPr>
                <w:rFonts w:ascii="宋体" w:hAnsi="宋体"/>
                <w:sz w:val="21"/>
                <w:szCs w:val="21"/>
              </w:rPr>
            </w:pPr>
            <w:r>
              <w:rPr>
                <w:rFonts w:hint="eastAsia" w:ascii="宋体" w:hAnsi="宋体"/>
                <w:sz w:val="21"/>
                <w:szCs w:val="21"/>
              </w:rPr>
              <w:t>269</w:t>
            </w:r>
          </w:p>
        </w:tc>
        <w:tc>
          <w:tcPr>
            <w:tcW w:w="799" w:type="dxa"/>
          </w:tcPr>
          <w:p>
            <w:pPr>
              <w:ind w:firstLine="0" w:firstLineChars="0"/>
              <w:jc w:val="center"/>
              <w:rPr>
                <w:rFonts w:ascii="宋体" w:hAnsi="宋体"/>
                <w:sz w:val="21"/>
                <w:szCs w:val="21"/>
              </w:rPr>
            </w:pPr>
            <w:r>
              <w:rPr>
                <w:rFonts w:hint="eastAsia" w:ascii="宋体" w:hAnsi="宋体"/>
                <w:sz w:val="21"/>
                <w:szCs w:val="21"/>
              </w:rPr>
              <w:t>281</w:t>
            </w:r>
          </w:p>
        </w:tc>
        <w:tc>
          <w:tcPr>
            <w:tcW w:w="799" w:type="dxa"/>
          </w:tcPr>
          <w:p>
            <w:pPr>
              <w:ind w:firstLine="0" w:firstLineChars="0"/>
              <w:jc w:val="center"/>
              <w:rPr>
                <w:rFonts w:ascii="宋体" w:hAnsi="宋体"/>
                <w:sz w:val="21"/>
                <w:szCs w:val="21"/>
              </w:rPr>
            </w:pPr>
            <w:r>
              <w:rPr>
                <w:rFonts w:hint="eastAsia" w:ascii="宋体" w:hAnsi="宋体"/>
                <w:sz w:val="21"/>
                <w:szCs w:val="21"/>
              </w:rPr>
              <w:t>261</w:t>
            </w:r>
          </w:p>
        </w:tc>
        <w:tc>
          <w:tcPr>
            <w:tcW w:w="799" w:type="dxa"/>
          </w:tcPr>
          <w:p>
            <w:pPr>
              <w:ind w:firstLine="0" w:firstLineChars="0"/>
              <w:jc w:val="center"/>
              <w:rPr>
                <w:rFonts w:ascii="宋体" w:hAnsi="宋体"/>
                <w:sz w:val="21"/>
                <w:szCs w:val="21"/>
              </w:rPr>
            </w:pPr>
            <w:r>
              <w:rPr>
                <w:rFonts w:hint="eastAsia" w:ascii="宋体" w:hAnsi="宋体"/>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4" w:type="dxa"/>
          </w:tcPr>
          <w:p>
            <w:pPr>
              <w:ind w:firstLine="0" w:firstLineChars="0"/>
              <w:jc w:val="center"/>
              <w:rPr>
                <w:rFonts w:ascii="宋体" w:hAnsi="宋体"/>
                <w:sz w:val="21"/>
                <w:szCs w:val="21"/>
              </w:rPr>
            </w:pPr>
            <w:r>
              <w:rPr>
                <w:rFonts w:hint="eastAsia" w:ascii="宋体" w:hAnsi="宋体"/>
                <w:sz w:val="21"/>
                <w:szCs w:val="21"/>
              </w:rPr>
              <w:t>轻度污染</w:t>
            </w:r>
          </w:p>
        </w:tc>
        <w:tc>
          <w:tcPr>
            <w:tcW w:w="800" w:type="dxa"/>
          </w:tcPr>
          <w:p>
            <w:pPr>
              <w:ind w:firstLine="0" w:firstLineChars="0"/>
              <w:jc w:val="center"/>
              <w:rPr>
                <w:rFonts w:ascii="宋体" w:hAnsi="宋体"/>
                <w:sz w:val="21"/>
                <w:szCs w:val="21"/>
              </w:rPr>
            </w:pPr>
            <w:r>
              <w:rPr>
                <w:rFonts w:hint="eastAsia" w:ascii="宋体" w:hAnsi="宋体"/>
                <w:sz w:val="21"/>
                <w:szCs w:val="21"/>
              </w:rPr>
              <w:t>48</w:t>
            </w:r>
          </w:p>
        </w:tc>
        <w:tc>
          <w:tcPr>
            <w:tcW w:w="799" w:type="dxa"/>
          </w:tcPr>
          <w:p>
            <w:pPr>
              <w:ind w:firstLine="0" w:firstLineChars="0"/>
              <w:jc w:val="center"/>
              <w:rPr>
                <w:rFonts w:ascii="宋体" w:hAnsi="宋体"/>
                <w:sz w:val="21"/>
                <w:szCs w:val="21"/>
              </w:rPr>
            </w:pPr>
            <w:r>
              <w:rPr>
                <w:rFonts w:hint="eastAsia" w:ascii="宋体" w:hAnsi="宋体"/>
                <w:sz w:val="21"/>
                <w:szCs w:val="21"/>
              </w:rPr>
              <w:t>47</w:t>
            </w:r>
          </w:p>
        </w:tc>
        <w:tc>
          <w:tcPr>
            <w:tcW w:w="799" w:type="dxa"/>
          </w:tcPr>
          <w:p>
            <w:pPr>
              <w:ind w:firstLine="0" w:firstLineChars="0"/>
              <w:jc w:val="center"/>
              <w:rPr>
                <w:rFonts w:ascii="宋体" w:hAnsi="宋体"/>
                <w:sz w:val="21"/>
                <w:szCs w:val="21"/>
              </w:rPr>
            </w:pPr>
            <w:r>
              <w:rPr>
                <w:rFonts w:hint="eastAsia" w:ascii="宋体" w:hAnsi="宋体"/>
                <w:sz w:val="21"/>
                <w:szCs w:val="21"/>
              </w:rPr>
              <w:t>52</w:t>
            </w:r>
          </w:p>
        </w:tc>
        <w:tc>
          <w:tcPr>
            <w:tcW w:w="799" w:type="dxa"/>
          </w:tcPr>
          <w:p>
            <w:pPr>
              <w:ind w:firstLine="0" w:firstLineChars="0"/>
              <w:jc w:val="center"/>
              <w:rPr>
                <w:rFonts w:ascii="宋体" w:hAnsi="宋体"/>
                <w:sz w:val="21"/>
                <w:szCs w:val="21"/>
              </w:rPr>
            </w:pPr>
            <w:r>
              <w:rPr>
                <w:rFonts w:hint="eastAsia" w:ascii="宋体" w:hAnsi="宋体"/>
                <w:sz w:val="21"/>
                <w:szCs w:val="21"/>
              </w:rPr>
              <w:t>41</w:t>
            </w:r>
          </w:p>
        </w:tc>
        <w:tc>
          <w:tcPr>
            <w:tcW w:w="799" w:type="dxa"/>
          </w:tcPr>
          <w:p>
            <w:pPr>
              <w:ind w:firstLine="0" w:firstLineChars="0"/>
              <w:jc w:val="center"/>
              <w:rPr>
                <w:rFonts w:ascii="宋体" w:hAnsi="宋体"/>
                <w:sz w:val="21"/>
                <w:szCs w:val="21"/>
              </w:rPr>
            </w:pPr>
            <w:r>
              <w:rPr>
                <w:rFonts w:hint="eastAsia" w:ascii="宋体" w:hAnsi="宋体"/>
                <w:sz w:val="21"/>
                <w:szCs w:val="21"/>
              </w:rPr>
              <w:t>36</w:t>
            </w:r>
          </w:p>
        </w:tc>
        <w:tc>
          <w:tcPr>
            <w:tcW w:w="799" w:type="dxa"/>
          </w:tcPr>
          <w:p>
            <w:pPr>
              <w:ind w:firstLine="0" w:firstLineChars="0"/>
              <w:jc w:val="center"/>
              <w:rPr>
                <w:rFonts w:ascii="宋体" w:hAnsi="宋体"/>
                <w:sz w:val="21"/>
                <w:szCs w:val="21"/>
              </w:rPr>
            </w:pPr>
            <w:r>
              <w:rPr>
                <w:rFonts w:hint="eastAsia" w:ascii="宋体" w:hAnsi="宋体"/>
                <w:sz w:val="21"/>
                <w:szCs w:val="21"/>
              </w:rPr>
              <w:t>39</w:t>
            </w:r>
          </w:p>
        </w:tc>
        <w:tc>
          <w:tcPr>
            <w:tcW w:w="799" w:type="dxa"/>
          </w:tcPr>
          <w:p>
            <w:pPr>
              <w:ind w:firstLine="0" w:firstLineChars="0"/>
              <w:jc w:val="center"/>
              <w:rPr>
                <w:rFonts w:ascii="宋体" w:hAnsi="宋体"/>
                <w:sz w:val="21"/>
                <w:szCs w:val="21"/>
              </w:rPr>
            </w:pPr>
            <w:r>
              <w:rPr>
                <w:rFonts w:hint="eastAsia" w:ascii="宋体" w:hAnsi="宋体"/>
                <w:sz w:val="21"/>
                <w:szCs w:val="21"/>
              </w:rPr>
              <w:t>34</w:t>
            </w:r>
          </w:p>
        </w:tc>
        <w:tc>
          <w:tcPr>
            <w:tcW w:w="799" w:type="dxa"/>
          </w:tcPr>
          <w:p>
            <w:pPr>
              <w:ind w:firstLine="0" w:firstLineChars="0"/>
              <w:jc w:val="center"/>
              <w:rPr>
                <w:rFonts w:ascii="宋体" w:hAnsi="宋体"/>
                <w:sz w:val="21"/>
                <w:szCs w:val="21"/>
              </w:rPr>
            </w:pPr>
            <w:r>
              <w:rPr>
                <w:rFonts w:hint="eastAsia" w:ascii="宋体" w:hAnsi="宋体"/>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4" w:type="dxa"/>
          </w:tcPr>
          <w:p>
            <w:pPr>
              <w:ind w:firstLine="0" w:firstLineChars="0"/>
              <w:jc w:val="center"/>
              <w:rPr>
                <w:rFonts w:ascii="宋体" w:hAnsi="宋体"/>
                <w:sz w:val="21"/>
                <w:szCs w:val="21"/>
              </w:rPr>
            </w:pPr>
            <w:r>
              <w:rPr>
                <w:rFonts w:hint="eastAsia" w:ascii="宋体" w:hAnsi="宋体"/>
                <w:sz w:val="21"/>
                <w:szCs w:val="21"/>
              </w:rPr>
              <w:t>中度污染</w:t>
            </w:r>
          </w:p>
        </w:tc>
        <w:tc>
          <w:tcPr>
            <w:tcW w:w="800" w:type="dxa"/>
          </w:tcPr>
          <w:p>
            <w:pPr>
              <w:ind w:firstLine="0" w:firstLineChars="0"/>
              <w:jc w:val="center"/>
              <w:rPr>
                <w:rFonts w:ascii="宋体" w:hAnsi="宋体"/>
                <w:sz w:val="21"/>
                <w:szCs w:val="21"/>
              </w:rPr>
            </w:pPr>
            <w:r>
              <w:rPr>
                <w:rFonts w:hint="eastAsia" w:ascii="宋体" w:hAnsi="宋体"/>
                <w:sz w:val="21"/>
                <w:szCs w:val="21"/>
              </w:rPr>
              <w:t>8</w:t>
            </w:r>
          </w:p>
        </w:tc>
        <w:tc>
          <w:tcPr>
            <w:tcW w:w="799" w:type="dxa"/>
          </w:tcPr>
          <w:p>
            <w:pPr>
              <w:ind w:firstLine="0" w:firstLineChars="0"/>
              <w:jc w:val="center"/>
              <w:rPr>
                <w:rFonts w:ascii="宋体" w:hAnsi="宋体"/>
                <w:sz w:val="21"/>
                <w:szCs w:val="21"/>
              </w:rPr>
            </w:pPr>
            <w:r>
              <w:rPr>
                <w:rFonts w:hint="eastAsia" w:ascii="宋体" w:hAnsi="宋体"/>
                <w:sz w:val="21"/>
                <w:szCs w:val="21"/>
              </w:rPr>
              <w:t>2</w:t>
            </w:r>
          </w:p>
        </w:tc>
        <w:tc>
          <w:tcPr>
            <w:tcW w:w="799" w:type="dxa"/>
          </w:tcPr>
          <w:p>
            <w:pPr>
              <w:ind w:firstLine="0" w:firstLineChars="0"/>
              <w:jc w:val="center"/>
              <w:rPr>
                <w:rFonts w:ascii="宋体" w:hAnsi="宋体"/>
                <w:sz w:val="21"/>
                <w:szCs w:val="21"/>
              </w:rPr>
            </w:pPr>
            <w:r>
              <w:rPr>
                <w:rFonts w:hint="eastAsia" w:ascii="宋体" w:hAnsi="宋体"/>
                <w:sz w:val="21"/>
                <w:szCs w:val="21"/>
              </w:rPr>
              <w:t>1</w:t>
            </w:r>
          </w:p>
        </w:tc>
        <w:tc>
          <w:tcPr>
            <w:tcW w:w="799" w:type="dxa"/>
          </w:tcPr>
          <w:p>
            <w:pPr>
              <w:ind w:firstLine="0" w:firstLineChars="0"/>
              <w:jc w:val="center"/>
              <w:rPr>
                <w:rFonts w:ascii="宋体" w:hAnsi="宋体"/>
                <w:sz w:val="21"/>
                <w:szCs w:val="21"/>
              </w:rPr>
            </w:pPr>
            <w:r>
              <w:rPr>
                <w:rFonts w:hint="eastAsia" w:ascii="宋体" w:hAnsi="宋体"/>
                <w:sz w:val="21"/>
                <w:szCs w:val="21"/>
              </w:rPr>
              <w:t>1</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1</w:t>
            </w:r>
          </w:p>
        </w:tc>
        <w:tc>
          <w:tcPr>
            <w:tcW w:w="799" w:type="dxa"/>
          </w:tcPr>
          <w:p>
            <w:pPr>
              <w:ind w:firstLine="0" w:firstLineChars="0"/>
              <w:jc w:val="center"/>
              <w:rPr>
                <w:rFonts w:ascii="宋体" w:hAnsi="宋体"/>
                <w:sz w:val="21"/>
                <w:szCs w:val="21"/>
              </w:rPr>
            </w:pPr>
            <w:r>
              <w:rPr>
                <w:rFonts w:hint="eastAsia" w:ascii="宋体" w:hAnsi="宋体"/>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4" w:type="dxa"/>
          </w:tcPr>
          <w:p>
            <w:pPr>
              <w:ind w:firstLine="0" w:firstLineChars="0"/>
              <w:jc w:val="center"/>
              <w:rPr>
                <w:rFonts w:ascii="宋体" w:hAnsi="宋体"/>
                <w:sz w:val="21"/>
                <w:szCs w:val="21"/>
              </w:rPr>
            </w:pPr>
            <w:r>
              <w:rPr>
                <w:rFonts w:hint="eastAsia" w:ascii="宋体" w:hAnsi="宋体"/>
                <w:sz w:val="21"/>
                <w:szCs w:val="21"/>
              </w:rPr>
              <w:t>重度污染</w:t>
            </w:r>
          </w:p>
        </w:tc>
        <w:tc>
          <w:tcPr>
            <w:tcW w:w="800" w:type="dxa"/>
          </w:tcPr>
          <w:p>
            <w:pPr>
              <w:ind w:firstLine="0" w:firstLineChars="0"/>
              <w:jc w:val="center"/>
              <w:rPr>
                <w:rFonts w:ascii="宋体" w:hAnsi="宋体"/>
                <w:sz w:val="21"/>
                <w:szCs w:val="21"/>
              </w:rPr>
            </w:pPr>
            <w:r>
              <w:rPr>
                <w:rFonts w:hint="eastAsia" w:ascii="宋体" w:hAnsi="宋体"/>
                <w:sz w:val="21"/>
                <w:szCs w:val="21"/>
              </w:rPr>
              <w:t>3</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0</w:t>
            </w:r>
          </w:p>
        </w:tc>
        <w:tc>
          <w:tcPr>
            <w:tcW w:w="799" w:type="dxa"/>
          </w:tcPr>
          <w:p>
            <w:pPr>
              <w:ind w:firstLine="0" w:firstLineChars="0"/>
              <w:jc w:val="center"/>
              <w:rPr>
                <w:rFonts w:ascii="宋体" w:hAnsi="宋体"/>
                <w:sz w:val="21"/>
                <w:szCs w:val="21"/>
              </w:rPr>
            </w:pPr>
            <w:r>
              <w:rPr>
                <w:rFonts w:hint="eastAsia" w:ascii="宋体" w:hAnsi="宋体"/>
                <w:sz w:val="21"/>
                <w:szCs w:val="21"/>
              </w:rPr>
              <w:t>86</w:t>
            </w:r>
          </w:p>
        </w:tc>
      </w:tr>
    </w:tbl>
    <w:p>
      <w:pPr>
        <w:pStyle w:val="2"/>
        <w:numPr>
          <w:ilvl w:val="0"/>
          <w:numId w:val="2"/>
        </w:numPr>
      </w:pPr>
      <w:bookmarkStart w:id="1" w:name="_Toc459646654"/>
      <w:r>
        <w:rPr>
          <w:rFonts w:hint="eastAsia"/>
        </w:rPr>
        <w:t>总体方案</w:t>
      </w:r>
      <w:bookmarkEnd w:id="1"/>
    </w:p>
    <w:p>
      <w:pPr>
        <w:ind w:firstLine="480"/>
      </w:pPr>
      <w:r>
        <w:rPr>
          <w:rFonts w:hint="eastAsia"/>
        </w:rPr>
        <w:t xml:space="preserve">在城市空气污染治理中可以注意到三大突出的矛盾：一是大气污染监控的紧迫性与技术手段和管理模式的滞后性矛盾突出；二是扬尘污染源点多、面广、线长与管理单位人手紧张的矛盾突出；三是扬尘污染源监控的环节多、难点多与多部门联合执法协同成本高、整治效果反复的矛盾突出。  </w:t>
      </w:r>
    </w:p>
    <w:p>
      <w:pPr>
        <w:ind w:firstLine="480"/>
      </w:pPr>
      <w:r>
        <w:rPr>
          <w:rFonts w:hint="eastAsia"/>
        </w:rPr>
        <w:t>针对以上源于现实中的问题，我们借鉴于最新的城市管理模式</w:t>
      </w:r>
      <w:r>
        <w:rPr>
          <w:rFonts w:hint="eastAsia" w:ascii="黑体" w:hAnsi="黑体" w:eastAsia="黑体"/>
        </w:rPr>
        <w:t>——</w:t>
      </w:r>
      <w:r>
        <w:rPr>
          <w:rFonts w:hint="eastAsia"/>
        </w:rPr>
        <w:t>网格化管理，从而将城市大气污染监测乃至整个环保工程进行网格化管理，也可以称之为“互联网＋环保”的形式。</w:t>
      </w:r>
    </w:p>
    <w:p>
      <w:pPr>
        <w:ind w:firstLine="480"/>
      </w:pPr>
      <w:r>
        <w:rPr>
          <w:rFonts w:hint="eastAsia"/>
        </w:rPr>
        <w:t>网格化精准监测系统由不同大气因子微型站、小型空气监测自动站和监控软件平台等设备构成，可对城市道路交通、重点区域、重点企业等领域各类污染排放因子进行实时监控管理，精确定位污染源排放点位及污染物排放因子。</w:t>
      </w:r>
    </w:p>
    <w:p>
      <w:pPr>
        <w:ind w:firstLine="480"/>
      </w:pPr>
      <w:r>
        <w:rPr>
          <w:rFonts w:hint="eastAsia"/>
          <w:color w:val="333333"/>
          <w:shd w:val="clear" w:color="auto" w:fill="FFFFFF"/>
        </w:rPr>
        <w:t>网格化管理围绕燃煤污染、扬尘及面源污染、工业污染、机动车污染等重点排放源，</w:t>
      </w:r>
      <w:r>
        <w:rPr>
          <w:rFonts w:hint="eastAsia"/>
        </w:rPr>
        <w:t>按照“分级负责、无缝对接、全面覆盖、责任到人”的原则，对全市空气质量形成网格化监测，具体内容如下：</w:t>
      </w:r>
    </w:p>
    <w:p>
      <w:pPr>
        <w:pStyle w:val="20"/>
        <w:numPr>
          <w:ilvl w:val="0"/>
          <w:numId w:val="3"/>
        </w:numPr>
        <w:ind w:left="0" w:firstLine="480"/>
      </w:pPr>
      <w:r>
        <w:rPr>
          <w:rFonts w:hint="eastAsia"/>
        </w:rPr>
        <w:t>全县按行政区划共划分11个网格区域，在各个网格内建立自动化监测设施，对没有部署空气质量监控站点的网格，安装部署空气质量自动连续监测设备或仪器，保证每个网格内至少具备1到2个空气质量监控站点。</w:t>
      </w:r>
    </w:p>
    <w:p>
      <w:pPr>
        <w:pStyle w:val="20"/>
        <w:numPr>
          <w:ilvl w:val="0"/>
          <w:numId w:val="3"/>
        </w:numPr>
        <w:ind w:left="0" w:firstLine="480"/>
      </w:pPr>
      <w:r>
        <w:rPr>
          <w:rFonts w:hint="eastAsia"/>
        </w:rPr>
        <w:t>根据功能规划和产业布局，对污染较为严重区域重点监控，通过加强对重污染区域的监测，全面获取空气质量污染物浓度、污染源等信息，为改善产业布局、提高空气质量的实施措施提供数据支撑。</w:t>
      </w:r>
    </w:p>
    <w:p>
      <w:pPr>
        <w:pStyle w:val="20"/>
        <w:numPr>
          <w:ilvl w:val="0"/>
          <w:numId w:val="3"/>
        </w:numPr>
        <w:ind w:left="0" w:firstLine="480"/>
      </w:pPr>
      <w:r>
        <w:rPr>
          <w:rFonts w:hint="eastAsia"/>
        </w:rPr>
        <w:t>不同类型重点污染源（包括工业企业、建筑扬尘、沙石场、堆煤场、秸秆焚烧等无组织烟尘污染源排放）要求安装对应的监测设备，例如CEMS、扬尘、VOC在线监测装置。</w:t>
      </w:r>
    </w:p>
    <w:p>
      <w:pPr>
        <w:pStyle w:val="20"/>
        <w:numPr>
          <w:ilvl w:val="0"/>
          <w:numId w:val="3"/>
        </w:numPr>
        <w:ind w:left="0" w:firstLine="480"/>
      </w:pPr>
      <w:r>
        <w:rPr>
          <w:rFonts w:hint="eastAsia"/>
        </w:rPr>
        <w:t>所有的监测设备或仪器全部划归统一管理，充分利用在线监测系统平台，实现“统一平台，统一标准，统一监管”。明确工作任务和奖惩措施，每日、月、旬发布各级网格空气质量指数AQI和排名，对排名落后的各级网格负责人进行约谈和问责，敦促其落实好属地管理责任。</w:t>
      </w:r>
    </w:p>
    <w:p>
      <w:pPr>
        <w:ind w:firstLine="480"/>
      </w:pPr>
      <w:r>
        <w:rPr>
          <w:rFonts w:hint="eastAsia"/>
        </w:rPr>
        <w:t>通过在全县区域内构建网格化监测，建立动态高分辨率大气污染源排放清单，清单空间精细到县、乡，时间精细到季、月，根据污染源变化情况实时更新，并向社会公布；随着数据的积累，通过云计算、模型分析等大数据技术，构建环境质量与环境容量、排污总量之间的动态联系，挖掘环境数据应用价值，为环境管理提供科学依据；科学确定各市、县的年、季、月污染物排放控制指标，各地在总量控制的前提下，将排放权作为生产、建设、经营的前置条件，进行量化分解；对不同地区、不同时段、不同气象条件下采取的减排调控政策、措施的实施效果进行定量分析评估，并指导行业、企业根据评估结果和既定的减排目标，以最小的减排代价达到最优的治污效果，提高减排调控措施的可持久性。</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2"/>
        <w:numPr>
          <w:ilvl w:val="0"/>
          <w:numId w:val="2"/>
        </w:numPr>
      </w:pPr>
      <w:bookmarkStart w:id="2" w:name="_Toc459646655"/>
      <w:r>
        <w:rPr>
          <w:rFonts w:hint="eastAsia"/>
        </w:rPr>
        <w:t>系统简介</w:t>
      </w:r>
      <w:bookmarkEnd w:id="2"/>
    </w:p>
    <w:p>
      <w:pPr>
        <w:pStyle w:val="3"/>
        <w:numPr>
          <w:ilvl w:val="0"/>
          <w:numId w:val="4"/>
        </w:numPr>
        <w:ind w:firstLineChars="0"/>
      </w:pPr>
      <w:bookmarkStart w:id="3" w:name="_Toc459646656"/>
      <w:r>
        <w:rPr>
          <w:rFonts w:hint="eastAsia"/>
        </w:rPr>
        <w:t>系统测量参数</w:t>
      </w:r>
      <w:bookmarkEnd w:id="3"/>
    </w:p>
    <w:p>
      <w:pPr>
        <w:pStyle w:val="20"/>
        <w:numPr>
          <w:ilvl w:val="0"/>
          <w:numId w:val="5"/>
        </w:numPr>
        <w:ind w:firstLineChars="0"/>
        <w:rPr>
          <w:b/>
        </w:rPr>
      </w:pPr>
      <w:r>
        <w:rPr>
          <w:rFonts w:hint="eastAsia"/>
          <w:b/>
        </w:rPr>
        <w:t>SO</w:t>
      </w:r>
      <w:r>
        <w:rPr>
          <w:rFonts w:hint="eastAsia"/>
          <w:b/>
          <w:vertAlign w:val="subscript"/>
        </w:rPr>
        <w:t>2</w:t>
      </w:r>
      <w:r>
        <w:rPr>
          <w:rFonts w:hint="eastAsia"/>
          <w:b/>
        </w:rPr>
        <w:t>、NO</w:t>
      </w:r>
      <w:r>
        <w:rPr>
          <w:rFonts w:hint="eastAsia"/>
          <w:b/>
          <w:vertAlign w:val="subscript"/>
        </w:rPr>
        <w:t>2</w:t>
      </w:r>
      <w:r>
        <w:rPr>
          <w:rFonts w:hint="eastAsia"/>
          <w:b/>
        </w:rPr>
        <w:t>（NO/NO</w:t>
      </w:r>
      <w:r>
        <w:rPr>
          <w:rFonts w:hint="eastAsia"/>
          <w:b/>
          <w:vertAlign w:val="subscript"/>
        </w:rPr>
        <w:t>X</w:t>
      </w:r>
      <w:r>
        <w:rPr>
          <w:rFonts w:hint="eastAsia"/>
          <w:b/>
        </w:rPr>
        <w:t>）、PM</w:t>
      </w:r>
      <w:r>
        <w:rPr>
          <w:rFonts w:hint="eastAsia"/>
          <w:b/>
          <w:vertAlign w:val="subscript"/>
        </w:rPr>
        <w:t>10</w:t>
      </w:r>
    </w:p>
    <w:p>
      <w:pPr>
        <w:pStyle w:val="20"/>
        <w:ind w:left="420" w:firstLine="0" w:firstLineChars="0"/>
      </w:pPr>
      <w:r>
        <w:rPr>
          <w:rFonts w:hint="eastAsia"/>
        </w:rPr>
        <w:t>现有三参数空气质量监测系统，主要反映一次污染；</w:t>
      </w:r>
    </w:p>
    <w:p>
      <w:pPr>
        <w:pStyle w:val="20"/>
        <w:numPr>
          <w:ilvl w:val="0"/>
          <w:numId w:val="5"/>
        </w:numPr>
        <w:ind w:firstLineChars="0"/>
        <w:rPr>
          <w:b/>
        </w:rPr>
      </w:pPr>
      <w:r>
        <w:rPr>
          <w:rFonts w:hint="eastAsia"/>
          <w:b/>
        </w:rPr>
        <w:t>CO</w:t>
      </w:r>
    </w:p>
    <w:p>
      <w:pPr>
        <w:pStyle w:val="20"/>
        <w:ind w:left="420" w:firstLine="0" w:firstLineChars="0"/>
      </w:pPr>
      <w:r>
        <w:rPr>
          <w:rFonts w:hint="eastAsia"/>
        </w:rPr>
        <w:t>衡量大气污染的重要标志性污染物，可用来评价系统稳定性；</w:t>
      </w:r>
    </w:p>
    <w:p>
      <w:pPr>
        <w:pStyle w:val="20"/>
        <w:numPr>
          <w:ilvl w:val="0"/>
          <w:numId w:val="5"/>
        </w:numPr>
        <w:ind w:firstLineChars="0"/>
        <w:rPr>
          <w:b/>
        </w:rPr>
      </w:pPr>
      <w:r>
        <w:rPr>
          <w:rFonts w:hint="eastAsia"/>
          <w:b/>
        </w:rPr>
        <w:t>O</w:t>
      </w:r>
      <w:r>
        <w:rPr>
          <w:rFonts w:hint="eastAsia"/>
          <w:b/>
          <w:vertAlign w:val="subscript"/>
        </w:rPr>
        <w:t>3</w:t>
      </w:r>
    </w:p>
    <w:p>
      <w:pPr>
        <w:pStyle w:val="20"/>
        <w:ind w:left="420" w:firstLine="0" w:firstLineChars="0"/>
      </w:pPr>
      <w:r>
        <w:rPr>
          <w:rFonts w:hint="eastAsia"/>
        </w:rPr>
        <w:t>光化学烟雾的标志，极易氧化气态污染物转化成细粒子；国家标准规定污染物；</w:t>
      </w:r>
    </w:p>
    <w:p>
      <w:pPr>
        <w:pStyle w:val="20"/>
        <w:numPr>
          <w:ilvl w:val="0"/>
          <w:numId w:val="5"/>
        </w:numPr>
        <w:ind w:firstLineChars="0"/>
        <w:rPr>
          <w:b/>
        </w:rPr>
      </w:pPr>
      <w:r>
        <w:rPr>
          <w:rFonts w:hint="eastAsia"/>
          <w:b/>
        </w:rPr>
        <w:t>PM</w:t>
      </w:r>
      <w:r>
        <w:rPr>
          <w:rFonts w:hint="eastAsia"/>
          <w:b/>
          <w:vertAlign w:val="subscript"/>
        </w:rPr>
        <w:t>2.5</w:t>
      </w:r>
      <w:r>
        <w:rPr>
          <w:rFonts w:hint="eastAsia"/>
          <w:b/>
        </w:rPr>
        <w:t>、PM10</w:t>
      </w:r>
    </w:p>
    <w:p>
      <w:pPr>
        <w:pStyle w:val="20"/>
        <w:ind w:left="420" w:firstLine="0" w:firstLineChars="0"/>
      </w:pPr>
      <w:r>
        <w:rPr>
          <w:rFonts w:hint="eastAsia"/>
        </w:rPr>
        <w:t>造成能见度降低（灰霾天气）的元凶；已被WHO、EPA和EU等列入空气评价指标体系</w:t>
      </w:r>
    </w:p>
    <w:p>
      <w:pPr>
        <w:pStyle w:val="3"/>
        <w:numPr>
          <w:ilvl w:val="0"/>
          <w:numId w:val="4"/>
        </w:numPr>
        <w:ind w:firstLineChars="0"/>
      </w:pPr>
      <w:bookmarkStart w:id="4" w:name="_Toc459646657"/>
      <w:r>
        <w:rPr>
          <w:rFonts w:hint="eastAsia"/>
        </w:rPr>
        <w:t>系统拓扑图</w:t>
      </w:r>
      <w:bookmarkEnd w:id="4"/>
    </w:p>
    <w:p>
      <w:pPr>
        <w:widowControl/>
        <w:shd w:val="clear" w:color="auto" w:fill="FFFFFF"/>
        <w:spacing w:line="480" w:lineRule="atLeast"/>
        <w:ind w:firstLine="480" w:firstLineChars="0"/>
        <w:jc w:val="left"/>
        <w:rPr>
          <w:rFonts w:ascii="宋体" w:hAnsi="宋体" w:cs="宋体"/>
          <w:color w:val="333333"/>
          <w:kern w:val="0"/>
          <w:szCs w:val="24"/>
        </w:rPr>
      </w:pPr>
      <w:r>
        <w:rPr>
          <w:rFonts w:hint="eastAsia" w:ascii="宋体" w:hAnsi="宋体" w:cs="宋体"/>
          <w:color w:val="333333"/>
          <w:kern w:val="0"/>
          <w:szCs w:val="24"/>
        </w:rPr>
        <w:t>整套系统由感知层、平台层和应用层3部分组成。其中，感知层由大密度布设的大型、小型监测站组成，监测站监测的数据通过无线网络传送到平台层，进行数据处理和自动修正。</w:t>
      </w:r>
    </w:p>
    <w:p>
      <w:pPr>
        <w:ind w:firstLine="480"/>
      </w:pPr>
      <w:r>
        <w:rPr>
          <w:rFonts w:hint="eastAsia"/>
        </w:rPr>
        <w:t>在应用层，可实时显示各监测点位和整个区域的空气质量状况，以及污染物浓度水平，并提供异常报警、区域空气质量变化趋势等多种服务业务。</w:t>
      </w:r>
    </w:p>
    <w:p>
      <w:pPr>
        <w:ind w:firstLine="0" w:firstLineChars="0"/>
      </w:pPr>
      <w:r>
        <w:drawing>
          <wp:inline distT="0" distB="0" distL="0" distR="0">
            <wp:extent cx="5274310" cy="6122670"/>
            <wp:effectExtent l="0" t="0" r="2540" b="0"/>
            <wp:docPr id="7" name="图片 7" descr="D:\我的文件\大气在线监测系统（客户需求文档、给客户的方案和报价）\河北石家庄新乐市大气颗粒物污染监测\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我的文件\大气在线监测系统（客户需求文档、给客户的方案和报价）\河北石家庄新乐市大气颗粒物污染监测\框架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6122694"/>
                    </a:xfrm>
                    <a:prstGeom prst="rect">
                      <a:avLst/>
                    </a:prstGeom>
                    <a:noFill/>
                    <a:ln>
                      <a:noFill/>
                    </a:ln>
                  </pic:spPr>
                </pic:pic>
              </a:graphicData>
            </a:graphic>
          </wp:inline>
        </w:drawing>
      </w:r>
    </w:p>
    <w:p>
      <w:pPr>
        <w:pStyle w:val="3"/>
        <w:numPr>
          <w:ilvl w:val="0"/>
          <w:numId w:val="4"/>
        </w:numPr>
        <w:ind w:firstLineChars="0"/>
      </w:pPr>
      <w:bookmarkStart w:id="5" w:name="_Toc343012131"/>
      <w:bookmarkStart w:id="6" w:name="_Toc327859417"/>
      <w:bookmarkStart w:id="7" w:name="_Toc459646658"/>
      <w:r>
        <w:rPr>
          <w:rFonts w:hint="eastAsia"/>
        </w:rPr>
        <w:t>系统组成</w:t>
      </w:r>
      <w:bookmarkEnd w:id="5"/>
      <w:bookmarkEnd w:id="6"/>
      <w:bookmarkEnd w:id="7"/>
    </w:p>
    <w:p>
      <w:pPr>
        <w:ind w:firstLine="482"/>
        <w:rPr>
          <w:b/>
        </w:rPr>
      </w:pPr>
      <w:r>
        <w:rPr>
          <w:rFonts w:hint="eastAsia"/>
          <w:b/>
        </w:rPr>
        <w:t>ZWIN-30环境空气质量自动监测系统</w:t>
      </w:r>
    </w:p>
    <w:p>
      <w:pPr>
        <w:ind w:firstLine="480"/>
      </w:pPr>
      <w:r>
        <w:t>利用国际上先进的光电技术研制、开发出来的最新高技术精密仪器设备。在贵方指定地点连续实时监测环境空气中的PM</w:t>
      </w:r>
      <w:r>
        <w:rPr>
          <w:vertAlign w:val="subscript"/>
        </w:rPr>
        <w:t>10</w:t>
      </w:r>
      <w:r>
        <w:t>、PM</w:t>
      </w:r>
      <w:r>
        <w:rPr>
          <w:vertAlign w:val="subscript"/>
        </w:rPr>
        <w:t>2.5</w:t>
      </w:r>
      <w:r>
        <w:t>、SO</w:t>
      </w:r>
      <w:r>
        <w:rPr>
          <w:vertAlign w:val="subscript"/>
        </w:rPr>
        <w:t>2</w:t>
      </w:r>
      <w:r>
        <w:t>、NO</w:t>
      </w:r>
      <w:r>
        <w:rPr>
          <w:vertAlign w:val="subscript"/>
        </w:rPr>
        <w:t>2</w:t>
      </w:r>
      <w:r>
        <w:t>、O</w:t>
      </w:r>
      <w:r>
        <w:rPr>
          <w:vertAlign w:val="subscript"/>
        </w:rPr>
        <w:t>3</w:t>
      </w:r>
      <w:r>
        <w:t>、CO等各项污染物浓度，以及风速、风向、温度、相对湿度、大气压等，并可与当地环保局联网监测。</w:t>
      </w:r>
    </w:p>
    <w:p>
      <w:pPr>
        <w:ind w:firstLine="0" w:firstLineChars="0"/>
        <w:jc w:val="center"/>
      </w:pPr>
      <w:r>
        <w:rPr>
          <w:rFonts w:hint="eastAsia" w:ascii="Times New Roman" w:hAnsi="Times New Roman" w:eastAsia="仿宋_GB2312"/>
          <w:b/>
          <w:sz w:val="28"/>
          <w:shd w:val="clear" w:color="auto" w:fill="BFBFBF"/>
        </w:rPr>
        <w:drawing>
          <wp:inline distT="0" distB="0" distL="0" distR="0">
            <wp:extent cx="5274310" cy="3124200"/>
            <wp:effectExtent l="0" t="0" r="2540"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124665"/>
                    </a:xfrm>
                    <a:prstGeom prst="rect">
                      <a:avLst/>
                    </a:prstGeom>
                    <a:noFill/>
                    <a:ln>
                      <a:noFill/>
                    </a:ln>
                  </pic:spPr>
                </pic:pic>
              </a:graphicData>
            </a:graphic>
          </wp:inline>
        </w:drawing>
      </w:r>
    </w:p>
    <w:p>
      <w:pPr>
        <w:ind w:firstLine="482"/>
      </w:pPr>
      <w:r>
        <w:rPr>
          <w:rFonts w:hint="eastAsia"/>
          <w:b/>
        </w:rPr>
        <w:t>监测子站：</w:t>
      </w:r>
      <w:r>
        <w:rPr>
          <w:rFonts w:hint="eastAsia"/>
        </w:rPr>
        <w:t>包含空气质量监测仪器和ZWIN-HDAQ8600空气质量数据采集仪。空气质量监测仪器监测空气的SO</w:t>
      </w:r>
      <w:r>
        <w:rPr>
          <w:rFonts w:hint="eastAsia"/>
          <w:vertAlign w:val="subscript"/>
        </w:rPr>
        <w:t>2</w:t>
      </w:r>
      <w:r>
        <w:rPr>
          <w:rFonts w:hint="eastAsia"/>
        </w:rPr>
        <w:t>、NO</w:t>
      </w:r>
      <w:r>
        <w:rPr>
          <w:rFonts w:hint="eastAsia"/>
          <w:vertAlign w:val="subscript"/>
        </w:rPr>
        <w:t>2</w:t>
      </w:r>
      <w:r>
        <w:rPr>
          <w:rFonts w:hint="eastAsia"/>
        </w:rPr>
        <w:t>（NO/NO</w:t>
      </w:r>
      <w:r>
        <w:rPr>
          <w:rFonts w:hint="eastAsia"/>
          <w:vertAlign w:val="subscript"/>
        </w:rPr>
        <w:t>X</w:t>
      </w:r>
      <w:r>
        <w:rPr>
          <w:rFonts w:hint="eastAsia"/>
        </w:rPr>
        <w:t>）、PM</w:t>
      </w:r>
      <w:r>
        <w:rPr>
          <w:rFonts w:hint="eastAsia"/>
          <w:vertAlign w:val="subscript"/>
        </w:rPr>
        <w:t>10</w:t>
      </w:r>
      <w:r>
        <w:rPr>
          <w:rFonts w:hint="eastAsia"/>
        </w:rPr>
        <w:t>、CO、O</w:t>
      </w:r>
      <w:r>
        <w:rPr>
          <w:rFonts w:hint="eastAsia"/>
          <w:vertAlign w:val="subscript"/>
        </w:rPr>
        <w:t>3</w:t>
      </w:r>
      <w:r>
        <w:rPr>
          <w:rFonts w:hint="eastAsia"/>
        </w:rPr>
        <w:t>、PM</w:t>
      </w:r>
      <w:r>
        <w:rPr>
          <w:rFonts w:hint="eastAsia"/>
          <w:vertAlign w:val="subscript"/>
        </w:rPr>
        <w:t>2.5</w:t>
      </w:r>
      <w:r>
        <w:rPr>
          <w:rFonts w:hint="eastAsia"/>
        </w:rPr>
        <w:t>、气象参数和能见度等。通过模拟量接口、数字接口（RS232/485）将在线仪器的监测数据传输给HDAQ8600空气质量数据采集仪，实现本地数据存储、处理、展示，并通过有线、2.5G、3G、专网等通信网络将数据远传至监控中心。</w:t>
      </w:r>
    </w:p>
    <w:p>
      <w:pPr>
        <w:ind w:firstLine="482"/>
      </w:pPr>
      <w:r>
        <w:rPr>
          <w:rFonts w:hint="eastAsia"/>
          <w:b/>
        </w:rPr>
        <w:t>通讯网络：</w:t>
      </w:r>
      <w:r>
        <w:rPr>
          <w:rFonts w:hint="eastAsia"/>
        </w:rPr>
        <w:t>可选用GPRS/CDMA/ADSL/PSTN/WLAN等通讯方式，支持VPN专网接入。</w:t>
      </w:r>
    </w:p>
    <w:p>
      <w:pPr>
        <w:ind w:firstLine="482"/>
      </w:pPr>
      <w:r>
        <w:rPr>
          <w:rFonts w:hint="eastAsia"/>
          <w:b/>
        </w:rPr>
        <w:t>监控中心</w:t>
      </w:r>
      <w:r>
        <w:rPr>
          <w:rFonts w:hint="eastAsia"/>
        </w:rPr>
        <w:t>：实现对SO</w:t>
      </w:r>
      <w:r>
        <w:rPr>
          <w:rFonts w:hint="eastAsia"/>
          <w:vertAlign w:val="subscript"/>
        </w:rPr>
        <w:t>2</w:t>
      </w:r>
      <w:r>
        <w:rPr>
          <w:rFonts w:hint="eastAsia"/>
        </w:rPr>
        <w:t>、NO</w:t>
      </w:r>
      <w:r>
        <w:rPr>
          <w:rFonts w:hint="eastAsia"/>
          <w:vertAlign w:val="subscript"/>
        </w:rPr>
        <w:t>2</w:t>
      </w:r>
      <w:r>
        <w:rPr>
          <w:rFonts w:hint="eastAsia"/>
        </w:rPr>
        <w:t>（NO/NO</w:t>
      </w:r>
      <w:r>
        <w:rPr>
          <w:rFonts w:hint="eastAsia"/>
          <w:vertAlign w:val="subscript"/>
        </w:rPr>
        <w:t>X</w:t>
      </w:r>
      <w:r>
        <w:rPr>
          <w:rFonts w:hint="eastAsia"/>
        </w:rPr>
        <w:t>）、O</w:t>
      </w:r>
      <w:r>
        <w:rPr>
          <w:rFonts w:hint="eastAsia"/>
          <w:vertAlign w:val="subscript"/>
        </w:rPr>
        <w:t>3</w:t>
      </w:r>
      <w:r>
        <w:rPr>
          <w:rFonts w:hint="eastAsia"/>
        </w:rPr>
        <w:t>、CO、PM</w:t>
      </w:r>
      <w:r>
        <w:rPr>
          <w:rFonts w:hint="eastAsia"/>
          <w:vertAlign w:val="subscript"/>
        </w:rPr>
        <w:t>10</w:t>
      </w:r>
      <w:r>
        <w:rPr>
          <w:rFonts w:hint="eastAsia"/>
        </w:rPr>
        <w:t>、PM</w:t>
      </w:r>
      <w:r>
        <w:rPr>
          <w:rFonts w:hint="eastAsia"/>
          <w:vertAlign w:val="subscript"/>
        </w:rPr>
        <w:t>2.5</w:t>
      </w:r>
      <w:r>
        <w:rPr>
          <w:rFonts w:hint="eastAsia"/>
        </w:rPr>
        <w:t>、VOC、能见度和气象五参数数据的管理、统计、分析、报表等功能。</w:t>
      </w:r>
    </w:p>
    <w:p>
      <w:pPr>
        <w:ind w:firstLine="480"/>
      </w:pPr>
    </w:p>
    <w:p>
      <w:pPr>
        <w:ind w:firstLine="480"/>
      </w:pPr>
    </w:p>
    <w:p>
      <w:pPr>
        <w:ind w:firstLine="480"/>
      </w:pPr>
    </w:p>
    <w:p>
      <w:pPr>
        <w:ind w:firstLine="480"/>
      </w:pPr>
    </w:p>
    <w:p>
      <w:pPr>
        <w:ind w:firstLine="480"/>
      </w:pPr>
    </w:p>
    <w:p>
      <w:pPr>
        <w:pStyle w:val="2"/>
        <w:numPr>
          <w:ilvl w:val="0"/>
          <w:numId w:val="2"/>
        </w:numPr>
      </w:pPr>
      <w:bookmarkStart w:id="8" w:name="_Toc343012133"/>
      <w:bookmarkStart w:id="9" w:name="_Toc459646659"/>
      <w:bookmarkStart w:id="10" w:name="_Toc327859419"/>
      <w:r>
        <w:rPr>
          <w:rFonts w:hint="eastAsia"/>
        </w:rPr>
        <w:t>产品介绍</w:t>
      </w:r>
      <w:bookmarkEnd w:id="8"/>
      <w:bookmarkEnd w:id="9"/>
      <w:bookmarkEnd w:id="10"/>
    </w:p>
    <w:p>
      <w:pPr>
        <w:pStyle w:val="3"/>
        <w:numPr>
          <w:ilvl w:val="0"/>
          <w:numId w:val="6"/>
        </w:numPr>
        <w:ind w:firstLineChars="0"/>
      </w:pPr>
      <w:r>
        <w:rPr>
          <w:rFonts w:hint="eastAsia"/>
        </w:rPr>
        <w:t xml:space="preserve"> </w:t>
      </w:r>
      <w:bookmarkStart w:id="11" w:name="_Toc459646660"/>
      <w:r>
        <w:rPr>
          <w:rFonts w:hint="eastAsia"/>
        </w:rPr>
        <w:t>ZWIN-30环境空气质量自动监测系统</w:t>
      </w:r>
      <w:bookmarkEnd w:id="11"/>
    </w:p>
    <w:p>
      <w:pPr>
        <w:pStyle w:val="4"/>
        <w:numPr>
          <w:ilvl w:val="2"/>
          <w:numId w:val="0"/>
        </w:numPr>
        <w:ind w:left="720" w:firstLine="643"/>
      </w:pPr>
      <w:bookmarkStart w:id="12" w:name="_Toc459646661"/>
      <w:r>
        <w:rPr>
          <w:rFonts w:hint="eastAsia"/>
        </w:rPr>
        <w:t>概述</w:t>
      </w:r>
      <w:bookmarkEnd w:id="12"/>
    </w:p>
    <w:p>
      <w:pPr>
        <w:ind w:firstLine="480"/>
      </w:pPr>
      <w:r>
        <w:t>该系统能及时掌握某一区域空气质量的现状，在一个区域内组成对环境空气进行实时采样和分析的完整网络，主要应用于各环境保护部门、电力、石油、化工、钢铁、冶金、建材大型工矿企业等对周围环境大气质量的监测，大型机场环境空气质量和气象参数的监测，气象监测和科研部门对大气质量参数和气象参数的监测和环境质量评价，道路交通环境污染监测等。</w:t>
      </w:r>
    </w:p>
    <w:p>
      <w:pPr>
        <w:ind w:firstLine="480"/>
      </w:pPr>
      <w:r>
        <w:t>本系统采用RS485通讯接口，与RS232相比， RS232只能对一台下位机，传输距离也较短，而RS485可对多台下位机，传输距离更长。本系统标准值输出为0-5V，4-20mA并有RS485双向通讯控制接口。所有仪器均具有良好的抗干扰能力及停电自恢复功能，有效数据捕获率优于90%。</w:t>
      </w:r>
    </w:p>
    <w:p>
      <w:pPr>
        <w:ind w:firstLine="480"/>
      </w:pPr>
      <w:r>
        <w:t>监测系统采用模块化结构，设计合理，操作简单，能实现远程数据传输和故障诊断，完全满足我国各级环境保护主管部门对大气环境质量连续自动监测的要求。</w:t>
      </w:r>
    </w:p>
    <w:p>
      <w:pPr>
        <w:pStyle w:val="4"/>
        <w:numPr>
          <w:ilvl w:val="2"/>
          <w:numId w:val="0"/>
        </w:numPr>
        <w:ind w:left="720" w:firstLine="643"/>
      </w:pPr>
      <w:bookmarkStart w:id="13" w:name="_Toc459646662"/>
      <w:r>
        <w:rPr>
          <w:rFonts w:hint="eastAsia"/>
        </w:rPr>
        <w:t>模块组成</w:t>
      </w:r>
      <w:bookmarkEnd w:id="13"/>
    </w:p>
    <w:p>
      <w:pPr>
        <w:spacing w:line="420" w:lineRule="auto"/>
        <w:ind w:left="1928" w:hanging="1928" w:hangingChars="800"/>
        <w:rPr>
          <w:rFonts w:ascii="宋体" w:hAnsi="宋体"/>
          <w:b/>
          <w:color w:val="FFFFFF"/>
          <w:sz w:val="36"/>
          <w:shd w:val="clear" w:color="auto" w:fill="808080"/>
        </w:rPr>
      </w:pPr>
      <w:r>
        <w:rPr>
          <w:rFonts w:ascii="黑体" w:hAnsi="黑体" w:eastAsia="黑体"/>
          <w:b/>
          <w:color w:val="0070C0"/>
          <w:szCs w:val="24"/>
        </w:rPr>
        <w:t>污染分析仪器</w:t>
      </w:r>
      <w:r>
        <w:rPr>
          <w:rFonts w:eastAsia="仿宋"/>
          <w:sz w:val="22"/>
        </w:rPr>
        <w:t xml:space="preserve">    </w:t>
      </w:r>
      <w:r>
        <w:rPr>
          <w:rFonts w:ascii="宋体" w:hAnsi="宋体"/>
        </w:rPr>
        <w:t>二氧化硫分析仪、氮氧化物分析仪、可吸入颗粒物（PM</w:t>
      </w:r>
      <w:r>
        <w:rPr>
          <w:rFonts w:ascii="宋体" w:hAnsi="宋体"/>
          <w:vertAlign w:val="subscript"/>
        </w:rPr>
        <w:t>10</w:t>
      </w:r>
      <w:r>
        <w:rPr>
          <w:rFonts w:ascii="宋体" w:hAnsi="宋体"/>
        </w:rPr>
        <w:t>）监测仪、细颗粒物（PM</w:t>
      </w:r>
      <w:r>
        <w:rPr>
          <w:rFonts w:ascii="宋体" w:hAnsi="宋体"/>
          <w:vertAlign w:val="subscript"/>
        </w:rPr>
        <w:t>2.5</w:t>
      </w:r>
      <w:r>
        <w:rPr>
          <w:rFonts w:ascii="宋体" w:hAnsi="宋体"/>
        </w:rPr>
        <w:t>）监测仪、臭氧分析仪、一氧化碳分析仪等</w:t>
      </w:r>
    </w:p>
    <w:p>
      <w:pPr>
        <w:spacing w:line="420" w:lineRule="auto"/>
        <w:ind w:firstLine="0" w:firstLineChars="0"/>
        <w:rPr>
          <w:rFonts w:ascii="宋体" w:hAnsi="宋体"/>
          <w:b/>
          <w:color w:val="FFFFFF"/>
          <w:szCs w:val="24"/>
          <w:shd w:val="clear" w:color="auto" w:fill="808080"/>
        </w:rPr>
      </w:pPr>
      <w:r>
        <w:rPr>
          <w:rFonts w:ascii="黑体" w:hAnsi="黑体" w:eastAsia="黑体"/>
          <w:b/>
          <w:color w:val="0070C0"/>
          <w:szCs w:val="24"/>
        </w:rPr>
        <w:t xml:space="preserve">多元气体校准 </w:t>
      </w:r>
      <w:r>
        <w:rPr>
          <w:rFonts w:eastAsia="仿宋"/>
          <w:sz w:val="22"/>
        </w:rPr>
        <w:t xml:space="preserve">   </w:t>
      </w:r>
      <w:r>
        <w:rPr>
          <w:rFonts w:ascii="宋体" w:hAnsi="宋体"/>
          <w:szCs w:val="24"/>
        </w:rPr>
        <w:t>零气发生器、动态气体校准仪、标准气体</w:t>
      </w:r>
    </w:p>
    <w:p>
      <w:pPr>
        <w:spacing w:line="420" w:lineRule="auto"/>
        <w:ind w:left="1918" w:hanging="1918" w:hangingChars="796"/>
        <w:rPr>
          <w:rFonts w:eastAsia="仿宋"/>
          <w:b/>
          <w:color w:val="FFFFFF"/>
          <w:sz w:val="32"/>
          <w:shd w:val="clear" w:color="auto" w:fill="808080"/>
        </w:rPr>
      </w:pPr>
      <w:r>
        <w:rPr>
          <w:rFonts w:ascii="黑体" w:hAnsi="黑体" w:eastAsia="黑体"/>
          <w:b/>
          <w:color w:val="0070C0"/>
          <w:szCs w:val="24"/>
        </w:rPr>
        <w:t xml:space="preserve">数据采集控制   </w:t>
      </w:r>
      <w:r>
        <w:rPr>
          <w:rFonts w:eastAsia="仿宋"/>
          <w:sz w:val="22"/>
        </w:rPr>
        <w:t xml:space="preserve"> </w:t>
      </w:r>
      <w:r>
        <w:rPr>
          <w:rFonts w:ascii="宋体" w:hAnsi="宋体"/>
          <w:szCs w:val="24"/>
        </w:rPr>
        <w:t>子站和中心站软件能查看实时和历史测量数据，数据整理存储并导出其他格式，形成曲线、报表等完整的报告；远程监控系统参数，采集分析仪事件记录数据，诊断菜单及初始化校准。</w:t>
      </w:r>
    </w:p>
    <w:p>
      <w:pPr>
        <w:spacing w:line="420" w:lineRule="auto"/>
        <w:ind w:left="1928" w:hanging="1928" w:hangingChars="800"/>
        <w:rPr>
          <w:rFonts w:ascii="宋体" w:hAnsi="宋体"/>
          <w:szCs w:val="24"/>
        </w:rPr>
      </w:pPr>
      <w:r>
        <w:rPr>
          <w:rFonts w:ascii="黑体" w:hAnsi="黑体" w:eastAsia="黑体"/>
          <w:b/>
          <w:color w:val="0070C0"/>
          <w:szCs w:val="24"/>
        </w:rPr>
        <w:t xml:space="preserve">空气样品采集 </w:t>
      </w:r>
      <w:r>
        <w:rPr>
          <w:rFonts w:eastAsia="仿宋"/>
          <w:sz w:val="22"/>
        </w:rPr>
        <w:t xml:space="preserve">   </w:t>
      </w:r>
      <w:r>
        <w:rPr>
          <w:rFonts w:ascii="宋体" w:hAnsi="宋体"/>
          <w:szCs w:val="24"/>
        </w:rPr>
        <w:t>空气采样总管、多支路接头、抽气风机</w:t>
      </w:r>
    </w:p>
    <w:p>
      <w:pPr>
        <w:spacing w:line="420" w:lineRule="auto"/>
        <w:ind w:left="1928" w:hanging="1928" w:hangingChars="800"/>
        <w:rPr>
          <w:rFonts w:ascii="宋体" w:hAnsi="宋体"/>
          <w:szCs w:val="24"/>
        </w:rPr>
      </w:pPr>
      <w:r>
        <w:rPr>
          <w:rFonts w:ascii="黑体" w:hAnsi="黑体" w:eastAsia="黑体"/>
          <w:b/>
          <w:color w:val="0070C0"/>
          <w:szCs w:val="24"/>
        </w:rPr>
        <w:t xml:space="preserve">气象参数监测 </w:t>
      </w:r>
      <w:r>
        <w:rPr>
          <w:rFonts w:eastAsia="仿宋"/>
          <w:sz w:val="22"/>
        </w:rPr>
        <w:t xml:space="preserve">   </w:t>
      </w:r>
      <w:r>
        <w:rPr>
          <w:rFonts w:ascii="宋体" w:hAnsi="宋体"/>
          <w:szCs w:val="24"/>
        </w:rPr>
        <w:t>大气压力、温度、相对湿度、风速、风向（可选雨量、日照、辐射等）</w:t>
      </w:r>
    </w:p>
    <w:p>
      <w:pPr>
        <w:spacing w:line="420" w:lineRule="auto"/>
        <w:ind w:left="1918" w:hanging="1918" w:hangingChars="796"/>
        <w:rPr>
          <w:rFonts w:ascii="宋体" w:hAnsi="宋体"/>
          <w:szCs w:val="24"/>
        </w:rPr>
      </w:pPr>
      <w:r>
        <w:rPr>
          <w:rFonts w:ascii="黑体" w:hAnsi="黑体" w:eastAsia="黑体"/>
          <w:b/>
          <w:color w:val="0070C0"/>
          <w:szCs w:val="24"/>
        </w:rPr>
        <w:t xml:space="preserve">子站站房空调 </w:t>
      </w:r>
      <w:r>
        <w:rPr>
          <w:rFonts w:eastAsia="仿宋"/>
          <w:sz w:val="22"/>
        </w:rPr>
        <w:t xml:space="preserve">   </w:t>
      </w:r>
      <w:r>
        <w:rPr>
          <w:rFonts w:ascii="宋体" w:hAnsi="宋体"/>
          <w:szCs w:val="24"/>
        </w:rPr>
        <w:t>根据用户要求可定制：站房大小和结构/组合机柜/室内温湿度/市电监测/空调/简易工作台/楼梯/换气扇/不间断电源/火灾报警/消防设施等。</w:t>
      </w:r>
    </w:p>
    <w:p>
      <w:pPr>
        <w:spacing w:line="420" w:lineRule="auto"/>
        <w:ind w:left="1918" w:hanging="1918" w:hangingChars="796"/>
        <w:rPr>
          <w:rFonts w:ascii="宋体" w:hAnsi="宋体"/>
          <w:szCs w:val="24"/>
        </w:rPr>
      </w:pPr>
      <w:r>
        <w:rPr>
          <w:rFonts w:ascii="黑体" w:hAnsi="黑体" w:eastAsia="黑体"/>
          <w:b/>
          <w:color w:val="0070C0"/>
          <w:szCs w:val="24"/>
        </w:rPr>
        <w:t xml:space="preserve">多种通讯方式 </w:t>
      </w:r>
      <w:r>
        <w:rPr>
          <w:rFonts w:eastAsia="仿宋"/>
          <w:sz w:val="22"/>
        </w:rPr>
        <w:t xml:space="preserve"> </w:t>
      </w:r>
      <w:r>
        <w:rPr>
          <w:rFonts w:hint="eastAsia" w:eastAsia="仿宋"/>
          <w:sz w:val="22"/>
        </w:rPr>
        <w:t xml:space="preserve">  </w:t>
      </w:r>
      <w:r>
        <w:rPr>
          <w:rFonts w:ascii="宋体" w:hAnsi="宋体"/>
          <w:szCs w:val="24"/>
        </w:rPr>
        <w:t>串口通讯 —— RS232/RS485  无线通讯 —— GPRS/CDMA/</w:t>
      </w:r>
    </w:p>
    <w:p>
      <w:pPr>
        <w:spacing w:line="420" w:lineRule="auto"/>
        <w:ind w:left="1910" w:hanging="1910" w:hangingChars="796"/>
        <w:rPr>
          <w:rFonts w:eastAsia="仿宋"/>
          <w:sz w:val="22"/>
        </w:rPr>
      </w:pPr>
      <w:r>
        <w:rPr>
          <w:rFonts w:ascii="宋体" w:hAnsi="宋体"/>
          <w:szCs w:val="24"/>
        </w:rPr>
        <w:t xml:space="preserve">              </w:t>
      </w:r>
      <w:r>
        <w:rPr>
          <w:rFonts w:hint="eastAsia" w:ascii="宋体" w:hAnsi="宋体"/>
          <w:szCs w:val="24"/>
        </w:rPr>
        <w:t xml:space="preserve">  </w:t>
      </w:r>
      <w:r>
        <w:rPr>
          <w:rFonts w:ascii="宋体" w:hAnsi="宋体"/>
          <w:szCs w:val="24"/>
        </w:rPr>
        <w:t>有线通讯 —— PSDN/LAN/Internet</w:t>
      </w:r>
    </w:p>
    <w:p>
      <w:pPr>
        <w:ind w:firstLine="480"/>
      </w:pPr>
    </w:p>
    <w:p>
      <w:pPr>
        <w:pStyle w:val="3"/>
        <w:numPr>
          <w:ilvl w:val="0"/>
          <w:numId w:val="6"/>
        </w:numPr>
        <w:ind w:firstLineChars="0"/>
      </w:pPr>
      <w:bookmarkStart w:id="14" w:name="_Toc327859420"/>
      <w:bookmarkStart w:id="15" w:name="_Toc343012134"/>
      <w:r>
        <w:rPr>
          <w:rFonts w:hint="eastAsia"/>
        </w:rPr>
        <w:t xml:space="preserve"> </w:t>
      </w:r>
      <w:bookmarkStart w:id="16" w:name="_Toc459646663"/>
      <w:r>
        <w:rPr>
          <w:rFonts w:hint="eastAsia"/>
        </w:rPr>
        <w:t>ZWIN-HDAQ8600空气质量数据采集仪</w:t>
      </w:r>
      <w:bookmarkEnd w:id="14"/>
      <w:bookmarkEnd w:id="15"/>
      <w:bookmarkEnd w:id="16"/>
    </w:p>
    <w:p>
      <w:pPr>
        <w:pStyle w:val="4"/>
        <w:numPr>
          <w:ilvl w:val="2"/>
          <w:numId w:val="0"/>
        </w:numPr>
        <w:ind w:left="720" w:firstLine="643"/>
      </w:pPr>
      <w:bookmarkStart w:id="17" w:name="_Toc327859421"/>
      <w:bookmarkStart w:id="18" w:name="_Toc343012135"/>
      <w:bookmarkStart w:id="19" w:name="_Toc459646664"/>
      <w:r>
        <w:rPr>
          <w:rFonts w:hint="eastAsia"/>
        </w:rPr>
        <w:t>概述</w:t>
      </w:r>
      <w:bookmarkEnd w:id="17"/>
      <w:bookmarkEnd w:id="18"/>
      <w:bookmarkEnd w:id="19"/>
    </w:p>
    <w:p>
      <w:pPr>
        <w:ind w:firstLine="480"/>
      </w:pPr>
      <w:bookmarkStart w:id="20" w:name="_Toc327859423"/>
      <w:bookmarkStart w:id="21" w:name="_Toc343012136"/>
      <w:r>
        <w:rPr>
          <w:rFonts w:hint="eastAsia"/>
        </w:rPr>
        <w:t>WIN-HDAQ8600型环保数采仪是我公司为满足环保行业特殊需求定制开发的一款高性能数据采集传输设备。系统采用NXP公司的LPC3250(ARM9 架构)处理器，嵌入式WINCE操作系统和实时数据库，符合HJ/T212-2005《污染源在线自动监测（监控）系统数据传输标准》和IEC-104规约。</w:t>
      </w:r>
    </w:p>
    <w:p>
      <w:pPr>
        <w:ind w:firstLine="480"/>
      </w:pPr>
      <w:r>
        <w:rPr>
          <w:rFonts w:hint="eastAsia"/>
        </w:rPr>
        <w:t>实现了对一次仪表的实时监控，永远在线，并通过模拟信号接口、数字信号接口、RS232/485接口与二氧化硫在线分析仪、臭氧在线监测仪、在线粒径分析仪、氮氧化物在线监测仪等多种仪器连接，使得对一次仪表监控，更加方便快捷。</w:t>
      </w:r>
    </w:p>
    <w:p>
      <w:pPr>
        <w:ind w:firstLine="480"/>
      </w:pPr>
      <w:r>
        <w:rPr>
          <w:rFonts w:hint="eastAsia"/>
        </w:rPr>
        <w:t>采集的数据通过GPRS/CDMA无线网络将数据传输到环保监控平台，从而实现数据的远程传输和设备反控，同时设备配有7</w:t>
      </w:r>
      <w:r>
        <w:t>‘</w:t>
      </w:r>
      <w:r>
        <w:rPr>
          <w:rFonts w:hint="eastAsia"/>
        </w:rPr>
        <w:t>的触控显示屏，能够随时观测到污染物排放的实时曲线，同时也可以调阅1年以上历史数据，为未来的环保执行提供强力的保证。</w:t>
      </w:r>
    </w:p>
    <w:p>
      <w:pPr>
        <w:pStyle w:val="4"/>
        <w:numPr>
          <w:ilvl w:val="2"/>
          <w:numId w:val="0"/>
        </w:numPr>
        <w:ind w:left="720" w:firstLine="643"/>
      </w:pPr>
      <w:bookmarkStart w:id="22" w:name="_Toc459646665"/>
      <w:r>
        <w:rPr>
          <w:rFonts w:hint="eastAsia"/>
        </w:rPr>
        <w:t>功能特点</w:t>
      </w:r>
      <w:bookmarkEnd w:id="20"/>
      <w:bookmarkEnd w:id="21"/>
      <w:bookmarkEnd w:id="22"/>
    </w:p>
    <w:p>
      <w:pPr>
        <w:pStyle w:val="20"/>
        <w:numPr>
          <w:ilvl w:val="0"/>
          <w:numId w:val="7"/>
        </w:numPr>
        <w:ind w:firstLineChars="0"/>
      </w:pPr>
      <w:r>
        <w:rPr>
          <w:rFonts w:hint="eastAsia"/>
        </w:rPr>
        <w:t>内置多种串口协议，可以与国内外主流气体分析仪器进行无缝连接；</w:t>
      </w:r>
    </w:p>
    <w:p>
      <w:pPr>
        <w:pStyle w:val="20"/>
        <w:numPr>
          <w:ilvl w:val="0"/>
          <w:numId w:val="7"/>
        </w:numPr>
        <w:ind w:firstLineChars="0"/>
      </w:pPr>
      <w:r>
        <w:rPr>
          <w:rFonts w:hint="eastAsia"/>
        </w:rPr>
        <w:t>协议开放，主协议（HJ/T212-2005）可方便扩展，同时提供在线仪器端的二次开发环境，便于二次开发，实现在线仪器的快速联网；</w:t>
      </w:r>
    </w:p>
    <w:p>
      <w:pPr>
        <w:pStyle w:val="20"/>
        <w:numPr>
          <w:ilvl w:val="0"/>
          <w:numId w:val="7"/>
        </w:numPr>
        <w:ind w:firstLineChars="0"/>
      </w:pPr>
      <w:r>
        <w:rPr>
          <w:rFonts w:hint="eastAsia"/>
        </w:rPr>
        <w:t>系统可自动或定时上传各类业务数据；</w:t>
      </w:r>
    </w:p>
    <w:p>
      <w:pPr>
        <w:pStyle w:val="20"/>
        <w:numPr>
          <w:ilvl w:val="0"/>
          <w:numId w:val="7"/>
        </w:numPr>
        <w:ind w:firstLineChars="0"/>
      </w:pPr>
      <w:r>
        <w:rPr>
          <w:rFonts w:hint="eastAsia"/>
        </w:rPr>
        <w:t>“断点续传”功能使现场数据不丢失的传输到局方，保证设备的在线率达到97%以上，实现了数据的完整性；</w:t>
      </w:r>
    </w:p>
    <w:p>
      <w:pPr>
        <w:pStyle w:val="20"/>
        <w:numPr>
          <w:ilvl w:val="0"/>
          <w:numId w:val="7"/>
        </w:numPr>
        <w:ind w:firstLineChars="0"/>
      </w:pPr>
      <w:r>
        <w:rPr>
          <w:rFonts w:hint="eastAsia"/>
        </w:rPr>
        <w:t>支持GPRS/CDMA/ADSL/PSTN/WLAN等多种通讯方式，并可以VPN专网接入；</w:t>
      </w:r>
    </w:p>
    <w:p>
      <w:pPr>
        <w:pStyle w:val="20"/>
        <w:numPr>
          <w:ilvl w:val="0"/>
          <w:numId w:val="7"/>
        </w:numPr>
        <w:ind w:firstLineChars="0"/>
      </w:pPr>
      <w:r>
        <w:rPr>
          <w:rFonts w:hint="eastAsia"/>
        </w:rPr>
        <w:t>支持环保专网与企业本地双通道同时输出，即可使数据远传至各级环保局、又方便企业实时（同步）观察现场仪器数据；</w:t>
      </w:r>
    </w:p>
    <w:p>
      <w:pPr>
        <w:pStyle w:val="20"/>
        <w:numPr>
          <w:ilvl w:val="0"/>
          <w:numId w:val="7"/>
        </w:numPr>
        <w:ind w:firstLineChars="0"/>
      </w:pPr>
      <w:r>
        <w:rPr>
          <w:rFonts w:hint="eastAsia"/>
        </w:rPr>
        <w:t>RTDB实时数据库支持实时、分钟、小时、日的历史数据存储1年，支持多种形式的数据查询与导出功能，以完成数据的可追溯性；</w:t>
      </w:r>
    </w:p>
    <w:p>
      <w:pPr>
        <w:pStyle w:val="20"/>
        <w:numPr>
          <w:ilvl w:val="0"/>
          <w:numId w:val="7"/>
        </w:numPr>
        <w:ind w:firstLineChars="0"/>
      </w:pPr>
      <w:r>
        <w:rPr>
          <w:rFonts w:hint="eastAsia"/>
        </w:rPr>
        <w:t>即时采样、校零校满、远程校时、上传时间间隔设定、提取历史数据，实现全面的反控功能；</w:t>
      </w:r>
    </w:p>
    <w:p>
      <w:pPr>
        <w:pStyle w:val="20"/>
        <w:numPr>
          <w:ilvl w:val="0"/>
          <w:numId w:val="7"/>
        </w:numPr>
        <w:ind w:firstLineChars="0"/>
      </w:pPr>
      <w:r>
        <w:rPr>
          <w:rFonts w:hint="eastAsia"/>
        </w:rPr>
        <w:t>可通过WEB方式对数采仪进行远程设置、升级和程序查看，便于操作人员对数采仪的远程维护；</w:t>
      </w:r>
    </w:p>
    <w:p>
      <w:pPr>
        <w:pStyle w:val="20"/>
        <w:numPr>
          <w:ilvl w:val="0"/>
          <w:numId w:val="7"/>
        </w:numPr>
        <w:ind w:firstLineChars="0"/>
      </w:pPr>
      <w:r>
        <w:rPr>
          <w:rFonts w:hint="eastAsia"/>
        </w:rPr>
        <w:t>系统的模块化设计，方便第三方运维公司运营维护管理；</w:t>
      </w:r>
    </w:p>
    <w:p>
      <w:pPr>
        <w:pStyle w:val="20"/>
        <w:numPr>
          <w:ilvl w:val="0"/>
          <w:numId w:val="7"/>
        </w:numPr>
        <w:ind w:firstLineChars="0"/>
      </w:pPr>
      <w:r>
        <w:rPr>
          <w:rFonts w:hint="eastAsia"/>
        </w:rPr>
        <w:t>丰富的输入、输出接口，如8AI 、4DI 、5DO 、3.5寸液晶屏显示、8路RS232/485，并且可扩展；</w:t>
      </w:r>
    </w:p>
    <w:p>
      <w:pPr>
        <w:pStyle w:val="20"/>
        <w:numPr>
          <w:ilvl w:val="0"/>
          <w:numId w:val="7"/>
        </w:numPr>
        <w:ind w:firstLineChars="0"/>
      </w:pPr>
      <w:r>
        <w:rPr>
          <w:rFonts w:hint="eastAsia"/>
        </w:rPr>
        <w:t>系统自备电源，在运行中如遇停电，自备电源立即启动，维持系统继续正常运行，保全数据的完整性；</w:t>
      </w:r>
    </w:p>
    <w:p>
      <w:pPr>
        <w:pStyle w:val="20"/>
        <w:numPr>
          <w:ilvl w:val="0"/>
          <w:numId w:val="7"/>
        </w:numPr>
        <w:ind w:firstLineChars="0"/>
      </w:pPr>
      <w:r>
        <w:rPr>
          <w:rFonts w:hint="eastAsia"/>
        </w:rPr>
        <w:t>系统内置软硬件看门狗，保证系统运行的可靠性；</w:t>
      </w:r>
    </w:p>
    <w:p>
      <w:pPr>
        <w:pStyle w:val="20"/>
        <w:numPr>
          <w:ilvl w:val="0"/>
          <w:numId w:val="7"/>
        </w:numPr>
        <w:ind w:firstLineChars="0"/>
      </w:pPr>
      <w:r>
        <w:rPr>
          <w:rFonts w:hint="eastAsia"/>
        </w:rPr>
        <w:t>可选配“空气质量在线监测平台”，完成现场数据的接收、存储、入库，并可对现场设备进行远程控制，方便形成各类数据表现形式如棒图、曲线及各类报表，方便企业同步监控数据。</w:t>
      </w:r>
    </w:p>
    <w:p>
      <w:pPr>
        <w:pStyle w:val="4"/>
        <w:numPr>
          <w:ilvl w:val="2"/>
          <w:numId w:val="0"/>
        </w:numPr>
        <w:ind w:left="720" w:firstLine="643"/>
      </w:pPr>
      <w:bookmarkStart w:id="23" w:name="_Toc327859424"/>
      <w:bookmarkStart w:id="24" w:name="_Toc343012137"/>
      <w:bookmarkStart w:id="25" w:name="_Toc459646666"/>
      <w:r>
        <w:rPr>
          <w:rFonts w:hint="eastAsia"/>
        </w:rPr>
        <w:t>技术指标</w:t>
      </w:r>
      <w:bookmarkEnd w:id="23"/>
      <w:bookmarkEnd w:id="24"/>
      <w:bookmarkEnd w:id="25"/>
    </w:p>
    <w:p>
      <w:pPr>
        <w:pStyle w:val="20"/>
        <w:numPr>
          <w:ilvl w:val="0"/>
          <w:numId w:val="8"/>
        </w:numPr>
        <w:ind w:left="0" w:firstLine="480"/>
      </w:pPr>
      <w:r>
        <w:rPr>
          <w:rFonts w:hint="eastAsia"/>
        </w:rPr>
        <w:t>安装结构：壁挂式；</w:t>
      </w:r>
    </w:p>
    <w:p>
      <w:pPr>
        <w:pStyle w:val="20"/>
        <w:numPr>
          <w:ilvl w:val="0"/>
          <w:numId w:val="8"/>
        </w:numPr>
        <w:ind w:left="0" w:firstLine="480"/>
      </w:pPr>
      <w:r>
        <w:rPr>
          <w:rFonts w:hint="eastAsia"/>
        </w:rPr>
        <w:t>CPU：NXP</w:t>
      </w:r>
      <w:r>
        <w:rPr>
          <w:rFonts w:hint="eastAsia"/>
          <w:szCs w:val="21"/>
        </w:rPr>
        <w:t>公司</w:t>
      </w:r>
      <w:r>
        <w:rPr>
          <w:rFonts w:hint="eastAsia"/>
        </w:rPr>
        <w:t>LPC3250；</w:t>
      </w:r>
    </w:p>
    <w:p>
      <w:pPr>
        <w:pStyle w:val="20"/>
        <w:numPr>
          <w:ilvl w:val="0"/>
          <w:numId w:val="8"/>
        </w:numPr>
        <w:ind w:left="0" w:firstLine="480"/>
        <w:rPr>
          <w:szCs w:val="21"/>
        </w:rPr>
      </w:pPr>
      <w:r>
        <w:rPr>
          <w:rFonts w:hint="eastAsia"/>
        </w:rPr>
        <w:t>芯片主频：</w:t>
      </w:r>
      <w:r>
        <w:rPr>
          <w:rFonts w:hint="eastAsia"/>
          <w:szCs w:val="21"/>
        </w:rPr>
        <w:t>200MHz；</w:t>
      </w:r>
    </w:p>
    <w:p>
      <w:pPr>
        <w:pStyle w:val="20"/>
        <w:numPr>
          <w:ilvl w:val="0"/>
          <w:numId w:val="8"/>
        </w:numPr>
        <w:ind w:left="0" w:firstLine="480"/>
      </w:pPr>
      <w:r>
        <w:rPr>
          <w:rFonts w:hint="eastAsia"/>
        </w:rPr>
        <w:t>存储器：256M，可选外部存储：SD卡及USB存储设备；</w:t>
      </w:r>
    </w:p>
    <w:p>
      <w:pPr>
        <w:pStyle w:val="20"/>
        <w:numPr>
          <w:ilvl w:val="0"/>
          <w:numId w:val="8"/>
        </w:numPr>
        <w:ind w:left="0" w:firstLine="480"/>
      </w:pPr>
      <w:r>
        <w:rPr>
          <w:rFonts w:hint="eastAsia"/>
        </w:rPr>
        <w:t>操作系统：内置Wince操作系统；</w:t>
      </w:r>
    </w:p>
    <w:p>
      <w:pPr>
        <w:pStyle w:val="20"/>
        <w:numPr>
          <w:ilvl w:val="0"/>
          <w:numId w:val="8"/>
        </w:numPr>
        <w:ind w:left="720" w:leftChars="200" w:hanging="240" w:hangingChars="100"/>
      </w:pPr>
      <w:r>
        <w:rPr>
          <w:rFonts w:hint="eastAsia"/>
        </w:rPr>
        <w:t>仪表接口：多种类型的数据输入接口功能，基本配置：8AI 、4DI 、2DO 、触控液晶屏显示、8路RS232/485(可扩展)；</w:t>
      </w:r>
    </w:p>
    <w:p>
      <w:pPr>
        <w:pStyle w:val="20"/>
        <w:numPr>
          <w:ilvl w:val="0"/>
          <w:numId w:val="8"/>
        </w:numPr>
        <w:ind w:left="0" w:firstLine="480"/>
      </w:pPr>
      <w:r>
        <w:rPr>
          <w:rFonts w:hint="eastAsia"/>
        </w:rPr>
        <w:t>显示单元：7寸的TFT液晶触摸显示屏；</w:t>
      </w:r>
    </w:p>
    <w:p>
      <w:pPr>
        <w:pStyle w:val="20"/>
        <w:numPr>
          <w:ilvl w:val="0"/>
          <w:numId w:val="8"/>
        </w:numPr>
        <w:ind w:left="720" w:leftChars="200" w:hanging="240" w:hangingChars="100"/>
        <w:rPr>
          <w:szCs w:val="21"/>
        </w:rPr>
      </w:pPr>
      <w:r>
        <w:rPr>
          <w:rFonts w:hint="eastAsia"/>
        </w:rPr>
        <w:t>通讯方式：支持GPRS/CDMA/ADSL/PSTN/WLAN/短波电台等多种通讯方式，</w:t>
      </w:r>
      <w:r>
        <w:rPr>
          <w:rFonts w:hint="eastAsia"/>
          <w:szCs w:val="21"/>
        </w:rPr>
        <w:t>可多中心传送；</w:t>
      </w:r>
    </w:p>
    <w:p>
      <w:pPr>
        <w:pStyle w:val="20"/>
        <w:numPr>
          <w:ilvl w:val="0"/>
          <w:numId w:val="8"/>
        </w:numPr>
        <w:ind w:left="0" w:firstLine="480"/>
        <w:rPr>
          <w:szCs w:val="21"/>
        </w:rPr>
      </w:pPr>
      <w:r>
        <w:rPr>
          <w:rFonts w:hint="eastAsia"/>
        </w:rPr>
        <w:t>精度：</w:t>
      </w:r>
      <w:r>
        <w:rPr>
          <w:szCs w:val="21"/>
        </w:rPr>
        <w:t>≤0.2%</w:t>
      </w:r>
      <w:r>
        <w:rPr>
          <w:rFonts w:hint="eastAsia"/>
          <w:szCs w:val="21"/>
        </w:rPr>
        <w:t>；</w:t>
      </w:r>
    </w:p>
    <w:p>
      <w:pPr>
        <w:pStyle w:val="20"/>
        <w:numPr>
          <w:ilvl w:val="0"/>
          <w:numId w:val="8"/>
        </w:numPr>
        <w:ind w:left="0" w:firstLine="480"/>
        <w:rPr>
          <w:szCs w:val="21"/>
        </w:rPr>
      </w:pPr>
      <w:r>
        <w:rPr>
          <w:rFonts w:hint="eastAsia"/>
        </w:rPr>
        <w:t>电磁兼容</w:t>
      </w:r>
      <w:r>
        <w:rPr>
          <w:rFonts w:hint="eastAsia"/>
          <w:szCs w:val="21"/>
        </w:rPr>
        <w:t>：满足IEC三级标准；</w:t>
      </w:r>
    </w:p>
    <w:p>
      <w:pPr>
        <w:pStyle w:val="20"/>
        <w:numPr>
          <w:ilvl w:val="0"/>
          <w:numId w:val="8"/>
        </w:numPr>
        <w:ind w:left="0" w:firstLine="480"/>
        <w:rPr>
          <w:szCs w:val="21"/>
        </w:rPr>
      </w:pPr>
      <w:r>
        <w:rPr>
          <w:szCs w:val="21"/>
        </w:rPr>
        <w:t>电源</w:t>
      </w:r>
      <w:r>
        <w:rPr>
          <w:rFonts w:hint="eastAsia"/>
          <w:szCs w:val="21"/>
        </w:rPr>
        <w:t>：</w:t>
      </w:r>
      <w:r>
        <w:rPr>
          <w:szCs w:val="21"/>
        </w:rPr>
        <w:t>220VAC ± 15％  50HZ ± 5％</w:t>
      </w:r>
      <w:r>
        <w:rPr>
          <w:rFonts w:hint="eastAsia"/>
          <w:szCs w:val="21"/>
        </w:rPr>
        <w:t>；</w:t>
      </w:r>
    </w:p>
    <w:p>
      <w:pPr>
        <w:pStyle w:val="20"/>
        <w:numPr>
          <w:ilvl w:val="0"/>
          <w:numId w:val="8"/>
        </w:numPr>
        <w:ind w:left="0" w:firstLine="480"/>
        <w:rPr>
          <w:szCs w:val="21"/>
        </w:rPr>
      </w:pPr>
      <w:r>
        <w:rPr>
          <w:szCs w:val="21"/>
        </w:rPr>
        <w:t>功耗</w:t>
      </w:r>
      <w:r>
        <w:rPr>
          <w:rFonts w:hint="eastAsia"/>
          <w:szCs w:val="21"/>
        </w:rPr>
        <w:t>：</w:t>
      </w:r>
      <w:r>
        <w:rPr>
          <w:szCs w:val="21"/>
        </w:rPr>
        <w:t>&lt;10W</w:t>
      </w:r>
      <w:r>
        <w:rPr>
          <w:rFonts w:hint="eastAsia"/>
          <w:szCs w:val="21"/>
        </w:rPr>
        <w:t>；</w:t>
      </w:r>
    </w:p>
    <w:p>
      <w:pPr>
        <w:pStyle w:val="20"/>
        <w:numPr>
          <w:ilvl w:val="0"/>
          <w:numId w:val="8"/>
        </w:numPr>
        <w:ind w:left="0" w:firstLine="480"/>
        <w:rPr>
          <w:szCs w:val="21"/>
        </w:rPr>
      </w:pPr>
      <w:r>
        <w:rPr>
          <w:rFonts w:hint="eastAsia"/>
        </w:rPr>
        <w:t>通讯协议：</w:t>
      </w:r>
      <w:r>
        <w:rPr>
          <w:rFonts w:hint="eastAsia"/>
          <w:szCs w:val="21"/>
        </w:rPr>
        <w:t>污染源在线自动监测（监控）系统数据传输标准HJ/T212-2005；</w:t>
      </w:r>
    </w:p>
    <w:p>
      <w:pPr>
        <w:pStyle w:val="20"/>
        <w:numPr>
          <w:ilvl w:val="0"/>
          <w:numId w:val="8"/>
        </w:numPr>
        <w:ind w:left="0" w:firstLine="480"/>
      </w:pPr>
      <w:r>
        <w:rPr>
          <w:rFonts w:hint="eastAsia"/>
          <w:szCs w:val="21"/>
        </w:rPr>
        <w:t>三防</w:t>
      </w:r>
      <w:r>
        <w:rPr>
          <w:rFonts w:hint="eastAsia"/>
        </w:rPr>
        <w:t>设计</w:t>
      </w:r>
      <w:r>
        <w:rPr>
          <w:rFonts w:hint="eastAsia"/>
          <w:szCs w:val="21"/>
        </w:rPr>
        <w:t>：防水、防尘、防破坏；</w:t>
      </w:r>
    </w:p>
    <w:p>
      <w:pPr>
        <w:pStyle w:val="3"/>
        <w:numPr>
          <w:ilvl w:val="0"/>
          <w:numId w:val="6"/>
        </w:numPr>
        <w:ind w:firstLineChars="0"/>
      </w:pPr>
      <w:bookmarkStart w:id="26" w:name="_Toc459646667"/>
      <w:bookmarkStart w:id="27" w:name="_Toc327859425"/>
      <w:bookmarkStart w:id="28" w:name="_Toc343012138"/>
      <w:r>
        <w:rPr>
          <w:rFonts w:hint="eastAsia"/>
        </w:rPr>
        <w:t>空气质量在线监测平台</w:t>
      </w:r>
      <w:bookmarkEnd w:id="26"/>
      <w:bookmarkEnd w:id="27"/>
      <w:bookmarkEnd w:id="28"/>
    </w:p>
    <w:p>
      <w:pPr>
        <w:ind w:firstLine="480"/>
      </w:pPr>
      <w:r>
        <w:rPr>
          <w:rFonts w:hint="eastAsia"/>
        </w:rPr>
        <w:t>空气质量在线监测平台软件，采用B/S模块开发、windows界面风格，操作简单方便。能实时显示各个监测站点的空气质量监测数据，并以各种图形展示业务数据，形成各种业务报表。</w:t>
      </w:r>
    </w:p>
    <w:p>
      <w:pPr>
        <w:pStyle w:val="4"/>
        <w:numPr>
          <w:ilvl w:val="2"/>
          <w:numId w:val="0"/>
        </w:numPr>
        <w:ind w:left="720" w:firstLine="643"/>
      </w:pPr>
      <w:bookmarkStart w:id="29" w:name="_Toc459646668"/>
      <w:bookmarkStart w:id="30" w:name="_Toc343012139"/>
      <w:bookmarkStart w:id="31" w:name="_Toc327859426"/>
      <w:r>
        <w:rPr>
          <w:rFonts w:hint="eastAsia"/>
        </w:rPr>
        <w:t>系统功能</w:t>
      </w:r>
      <w:bookmarkEnd w:id="29"/>
      <w:bookmarkEnd w:id="30"/>
      <w:bookmarkEnd w:id="31"/>
    </w:p>
    <w:p>
      <w:pPr>
        <w:ind w:firstLine="482"/>
      </w:pPr>
      <w:r>
        <w:rPr>
          <w:rFonts w:hint="eastAsia"/>
          <w:b/>
        </w:rPr>
        <w:t>实时监测：</w:t>
      </w:r>
      <w:r>
        <w:rPr>
          <w:rFonts w:hint="eastAsia"/>
        </w:rPr>
        <w:t>实时显示某监测站点的</w:t>
      </w:r>
      <w:r>
        <w:rPr>
          <w:rFonts w:hint="eastAsia"/>
          <w:kern w:val="0"/>
        </w:rPr>
        <w:t>SO</w:t>
      </w:r>
      <w:r>
        <w:rPr>
          <w:rFonts w:hint="eastAsia"/>
          <w:kern w:val="0"/>
          <w:vertAlign w:val="subscript"/>
        </w:rPr>
        <w:t>2</w:t>
      </w:r>
      <w:r>
        <w:rPr>
          <w:rFonts w:hint="eastAsia"/>
          <w:kern w:val="0"/>
        </w:rPr>
        <w:t>、NO</w:t>
      </w:r>
      <w:r>
        <w:rPr>
          <w:rFonts w:hint="eastAsia"/>
          <w:kern w:val="0"/>
          <w:vertAlign w:val="subscript"/>
        </w:rPr>
        <w:t>2</w:t>
      </w:r>
      <w:r>
        <w:rPr>
          <w:rFonts w:hint="eastAsia"/>
          <w:kern w:val="0"/>
        </w:rPr>
        <w:t>、O</w:t>
      </w:r>
      <w:r>
        <w:rPr>
          <w:rFonts w:hint="eastAsia"/>
          <w:kern w:val="0"/>
          <w:vertAlign w:val="subscript"/>
        </w:rPr>
        <w:t>3</w:t>
      </w:r>
      <w:r>
        <w:rPr>
          <w:rFonts w:hint="eastAsia"/>
          <w:kern w:val="0"/>
        </w:rPr>
        <w:t>、CO、PM</w:t>
      </w:r>
      <w:r>
        <w:rPr>
          <w:rFonts w:hint="eastAsia"/>
          <w:kern w:val="0"/>
          <w:vertAlign w:val="subscript"/>
        </w:rPr>
        <w:t>10</w:t>
      </w:r>
      <w:r>
        <w:rPr>
          <w:rFonts w:hint="eastAsia"/>
          <w:kern w:val="0"/>
        </w:rPr>
        <w:t>、PM</w:t>
      </w:r>
      <w:r>
        <w:rPr>
          <w:rFonts w:hint="eastAsia"/>
          <w:kern w:val="0"/>
          <w:vertAlign w:val="subscript"/>
        </w:rPr>
        <w:t>2.5</w:t>
      </w:r>
      <w:r>
        <w:rPr>
          <w:rFonts w:hint="eastAsia"/>
          <w:kern w:val="0"/>
        </w:rPr>
        <w:t>、能见度、风速、风向、温度、湿度、气压等空气质量指数的监测数据及仪器的运行状态；</w:t>
      </w:r>
      <w:r>
        <w:t xml:space="preserve"> </w:t>
      </w:r>
    </w:p>
    <w:p>
      <w:pPr>
        <w:ind w:firstLine="482"/>
      </w:pPr>
      <w:r>
        <w:rPr>
          <w:rFonts w:hint="eastAsia"/>
          <w:b/>
        </w:rPr>
        <w:t>历史数据查询：</w:t>
      </w:r>
      <w:r>
        <w:rPr>
          <w:rFonts w:hint="eastAsia"/>
        </w:rPr>
        <w:t>可以根据时间段、监控站点等条件查询历史数据，并可以数据表格和图形的形式输出；</w:t>
      </w:r>
    </w:p>
    <w:p>
      <w:pPr>
        <w:ind w:firstLine="482"/>
      </w:pPr>
      <w:r>
        <w:rPr>
          <w:rFonts w:hint="eastAsia"/>
          <w:b/>
        </w:rPr>
        <w:t>统计报表：</w:t>
      </w:r>
      <w:r>
        <w:rPr>
          <w:rFonts w:hint="eastAsia"/>
        </w:rPr>
        <w:t>按业务要求生成小时、日、周、月、季、年报表及相应图表，并可以导出EXCEL表格到本地；</w:t>
      </w:r>
    </w:p>
    <w:p>
      <w:pPr>
        <w:ind w:firstLine="482"/>
      </w:pPr>
      <w:r>
        <w:rPr>
          <w:rFonts w:hint="eastAsia"/>
          <w:b/>
        </w:rPr>
        <w:t>空气质量日报：</w:t>
      </w:r>
      <w:r>
        <w:rPr>
          <w:rFonts w:hint="eastAsia"/>
        </w:rPr>
        <w:t>可以将采集的数据转换为国家标准统一日报格式上报；</w:t>
      </w:r>
    </w:p>
    <w:p>
      <w:pPr>
        <w:ind w:firstLine="482"/>
      </w:pPr>
      <w:r>
        <w:rPr>
          <w:rFonts w:hint="eastAsia"/>
          <w:b/>
        </w:rPr>
        <w:t>空气污染指数报告：</w:t>
      </w:r>
      <w:r>
        <w:rPr>
          <w:rFonts w:hint="eastAsia"/>
        </w:rPr>
        <w:t>将一天采集的数据生成空气污染指数报告；</w:t>
      </w:r>
    </w:p>
    <w:p>
      <w:pPr>
        <w:ind w:firstLine="482"/>
      </w:pPr>
      <w:r>
        <w:rPr>
          <w:rFonts w:hint="eastAsia"/>
          <w:b/>
        </w:rPr>
        <w:t>设备监控功能：</w:t>
      </w:r>
      <w:r>
        <w:rPr>
          <w:rFonts w:hint="eastAsia"/>
        </w:rPr>
        <w:t>实时监视在线监测仪器是否正常工作，数据上传是否正常，若设备故障或传输异常，及时以短信形式告知相关联系人；</w:t>
      </w:r>
    </w:p>
    <w:p>
      <w:pPr>
        <w:ind w:firstLine="482"/>
      </w:pPr>
      <w:r>
        <w:rPr>
          <w:rFonts w:hint="eastAsia"/>
          <w:b/>
        </w:rPr>
        <w:t>站点管理：</w:t>
      </w:r>
      <w:r>
        <w:rPr>
          <w:rFonts w:hint="eastAsia"/>
        </w:rPr>
        <w:t>配置站点信息，增加或删除站点等操作；</w:t>
      </w:r>
    </w:p>
    <w:p>
      <w:pPr>
        <w:ind w:firstLine="482"/>
      </w:pPr>
      <w:r>
        <w:rPr>
          <w:rFonts w:hint="eastAsia"/>
          <w:b/>
        </w:rPr>
        <w:t>用户管理：</w:t>
      </w:r>
      <w:r>
        <w:rPr>
          <w:rFonts w:hint="eastAsia"/>
        </w:rPr>
        <w:t>为保证系统的有效和安全，设置多级用户登录管理；</w:t>
      </w:r>
    </w:p>
    <w:p>
      <w:pPr>
        <w:pStyle w:val="4"/>
        <w:numPr>
          <w:ilvl w:val="2"/>
          <w:numId w:val="0"/>
        </w:numPr>
        <w:ind w:left="720" w:firstLine="643"/>
      </w:pPr>
      <w:bookmarkStart w:id="32" w:name="_Toc327859427"/>
      <w:bookmarkStart w:id="33" w:name="_Toc343012140"/>
      <w:bookmarkStart w:id="34" w:name="_Toc459646669"/>
      <w:r>
        <w:rPr>
          <w:rFonts w:hint="eastAsia"/>
        </w:rPr>
        <w:t>界面展示</w:t>
      </w:r>
      <w:bookmarkEnd w:id="32"/>
      <w:bookmarkEnd w:id="33"/>
      <w:bookmarkEnd w:id="34"/>
    </w:p>
    <w:p>
      <w:pPr>
        <w:ind w:firstLine="480"/>
      </w:pPr>
      <w:bookmarkStart w:id="35" w:name="_GoBack"/>
      <w:r>
        <w:drawing>
          <wp:inline distT="0" distB="0" distL="0" distR="0">
            <wp:extent cx="4458335" cy="2178050"/>
            <wp:effectExtent l="133350" t="114300" r="151765" b="165100"/>
            <wp:docPr id="19" name="图片 18" descr="小Q截图-2016081813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小Q截图-20160818135035"/>
                    <pic:cNvPicPr>
                      <a:picLocks noChangeAspect="1"/>
                    </pic:cNvPicPr>
                  </pic:nvPicPr>
                  <pic:blipFill>
                    <a:blip r:embed="rId12"/>
                    <a:stretch>
                      <a:fillRect/>
                    </a:stretch>
                  </pic:blipFill>
                  <pic:spPr>
                    <a:xfrm>
                      <a:off x="0" y="0"/>
                      <a:ext cx="4458335" cy="217868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35"/>
    </w:p>
    <w:p>
      <w:pPr>
        <w:ind w:firstLine="482"/>
        <w:jc w:val="center"/>
        <w:rPr>
          <w:b/>
        </w:rPr>
      </w:pPr>
      <w:r>
        <w:rPr>
          <w:rFonts w:hint="eastAsia"/>
          <w:b/>
        </w:rPr>
        <w:t>实时监控与动态展示</w:t>
      </w:r>
    </w:p>
    <w:p>
      <w:pPr>
        <w:ind w:firstLine="480"/>
      </w:pPr>
      <w:r>
        <w:drawing>
          <wp:inline distT="0" distB="0" distL="0" distR="0">
            <wp:extent cx="4658360" cy="2178685"/>
            <wp:effectExtent l="133350" t="114300" r="142240" b="164465"/>
            <wp:docPr id="21" name="图片 20" descr="小Q截图-201608181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小Q截图-20160818135201"/>
                    <pic:cNvPicPr>
                      <a:picLocks noChangeAspect="1"/>
                    </pic:cNvPicPr>
                  </pic:nvPicPr>
                  <pic:blipFill>
                    <a:blip r:embed="rId13"/>
                    <a:stretch>
                      <a:fillRect/>
                    </a:stretch>
                  </pic:blipFill>
                  <pic:spPr>
                    <a:xfrm>
                      <a:off x="0" y="0"/>
                      <a:ext cx="4658362" cy="21786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ind w:firstLine="482"/>
        <w:jc w:val="center"/>
        <w:rPr>
          <w:b/>
        </w:rPr>
      </w:pPr>
      <w:r>
        <w:rPr>
          <w:rFonts w:hint="eastAsia"/>
          <w:b/>
        </w:rPr>
        <w:t>历史数据图形表示</w:t>
      </w:r>
    </w:p>
    <w:p>
      <w:pPr>
        <w:ind w:firstLine="0" w:firstLineChars="0"/>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swiss"/>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A414D"/>
    <w:multiLevelType w:val="multilevel"/>
    <w:tmpl w:val="2EBA414D"/>
    <w:lvl w:ilvl="0" w:tentative="0">
      <w:start w:val="1"/>
      <w:numFmt w:val="decimal"/>
      <w:lvlText w:val="4.%1"/>
      <w:lvlJc w:val="left"/>
      <w:pPr>
        <w:ind w:left="620" w:hanging="420"/>
      </w:pPr>
      <w:rPr>
        <w:rFonts w:hint="eastAsia" w:ascii="黑体" w:eastAsia="黑体"/>
        <w:b/>
        <w:sz w:val="30"/>
        <w:szCs w:val="30"/>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2FF63EC4"/>
    <w:multiLevelType w:val="multilevel"/>
    <w:tmpl w:val="2FF63EC4"/>
    <w:lvl w:ilvl="0" w:tentative="0">
      <w:start w:val="1"/>
      <w:numFmt w:val="decimal"/>
      <w:lvlText w:val="3.%1"/>
      <w:lvlJc w:val="left"/>
      <w:pPr>
        <w:ind w:left="620" w:hanging="420"/>
      </w:pPr>
      <w:rPr>
        <w:rFonts w:hint="eastAsia" w:ascii="黑体" w:eastAsia="黑体"/>
        <w:b/>
        <w:sz w:val="30"/>
        <w:szCs w:val="30"/>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3D1D353A"/>
    <w:multiLevelType w:val="multilevel"/>
    <w:tmpl w:val="3D1D353A"/>
    <w:lvl w:ilvl="0" w:tentative="0">
      <w:start w:val="1"/>
      <w:numFmt w:val="decimal"/>
      <w:lvlText w:val="%1）"/>
      <w:lvlJc w:val="left"/>
      <w:pPr>
        <w:ind w:left="900" w:hanging="420"/>
      </w:pPr>
      <w:rPr>
        <w:rFonts w:hint="eastAsia" w:ascii="宋体" w:eastAsia="宋体"/>
        <w:b/>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D4A6E87"/>
    <w:multiLevelType w:val="multilevel"/>
    <w:tmpl w:val="3D4A6E8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0C33836"/>
    <w:multiLevelType w:val="multilevel"/>
    <w:tmpl w:val="40C3383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8DC2CC3"/>
    <w:multiLevelType w:val="multilevel"/>
    <w:tmpl w:val="58DC2CC3"/>
    <w:lvl w:ilvl="0" w:tentative="0">
      <w:start w:val="1"/>
      <w:numFmt w:val="chineseCountingThousand"/>
      <w:lvlText w:val="%1、"/>
      <w:lvlJc w:val="left"/>
      <w:pPr>
        <w:ind w:left="420" w:hanging="420"/>
      </w:pPr>
      <w:rPr>
        <w:rFonts w:hint="eastAsia" w:ascii="黑体" w:eastAsia="黑体"/>
        <w:b/>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27A210E"/>
    <w:multiLevelType w:val="multilevel"/>
    <w:tmpl w:val="627A210E"/>
    <w:lvl w:ilvl="0" w:tentative="0">
      <w:start w:val="1"/>
      <w:numFmt w:val="none"/>
      <w:pStyle w:val="10"/>
      <w:suff w:val="space"/>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7C6C0DB1"/>
    <w:multiLevelType w:val="multilevel"/>
    <w:tmpl w:val="7C6C0DB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5"/>
  </w:num>
  <w:num w:numId="3">
    <w:abstractNumId w:val="2"/>
  </w:num>
  <w:num w:numId="4">
    <w:abstractNumId w:val="1"/>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4D"/>
    <w:rsid w:val="00001B8B"/>
    <w:rsid w:val="00031DE8"/>
    <w:rsid w:val="00056DF1"/>
    <w:rsid w:val="00065CCE"/>
    <w:rsid w:val="000C3662"/>
    <w:rsid w:val="000D5FE3"/>
    <w:rsid w:val="000E567A"/>
    <w:rsid w:val="000F4D3C"/>
    <w:rsid w:val="00140F97"/>
    <w:rsid w:val="001902D2"/>
    <w:rsid w:val="001920EF"/>
    <w:rsid w:val="00192C37"/>
    <w:rsid w:val="00196EAF"/>
    <w:rsid w:val="001A6292"/>
    <w:rsid w:val="001B15C2"/>
    <w:rsid w:val="001B44FD"/>
    <w:rsid w:val="001E433A"/>
    <w:rsid w:val="00206D15"/>
    <w:rsid w:val="002768C4"/>
    <w:rsid w:val="00276C3E"/>
    <w:rsid w:val="00292799"/>
    <w:rsid w:val="00292D21"/>
    <w:rsid w:val="002956B1"/>
    <w:rsid w:val="0030668F"/>
    <w:rsid w:val="00380D81"/>
    <w:rsid w:val="00381555"/>
    <w:rsid w:val="00383179"/>
    <w:rsid w:val="00383374"/>
    <w:rsid w:val="003A1F48"/>
    <w:rsid w:val="003B2D4B"/>
    <w:rsid w:val="003D6B95"/>
    <w:rsid w:val="003F62F7"/>
    <w:rsid w:val="004026A3"/>
    <w:rsid w:val="00413188"/>
    <w:rsid w:val="0044294D"/>
    <w:rsid w:val="00447EEB"/>
    <w:rsid w:val="0045191E"/>
    <w:rsid w:val="00480A0C"/>
    <w:rsid w:val="00480FDF"/>
    <w:rsid w:val="004E1C92"/>
    <w:rsid w:val="004E4DA6"/>
    <w:rsid w:val="005370CF"/>
    <w:rsid w:val="00551B77"/>
    <w:rsid w:val="00575CE7"/>
    <w:rsid w:val="005B0C11"/>
    <w:rsid w:val="005C16E9"/>
    <w:rsid w:val="005E5BB2"/>
    <w:rsid w:val="00605ADE"/>
    <w:rsid w:val="00652E3A"/>
    <w:rsid w:val="00672767"/>
    <w:rsid w:val="006730C8"/>
    <w:rsid w:val="00697235"/>
    <w:rsid w:val="006F2CE1"/>
    <w:rsid w:val="007060A2"/>
    <w:rsid w:val="007626E0"/>
    <w:rsid w:val="00764E34"/>
    <w:rsid w:val="0077353D"/>
    <w:rsid w:val="00792DF7"/>
    <w:rsid w:val="007A2B94"/>
    <w:rsid w:val="007C3868"/>
    <w:rsid w:val="007C754E"/>
    <w:rsid w:val="00860723"/>
    <w:rsid w:val="008662C0"/>
    <w:rsid w:val="00870567"/>
    <w:rsid w:val="008838F6"/>
    <w:rsid w:val="008925B7"/>
    <w:rsid w:val="008F16EC"/>
    <w:rsid w:val="0090168F"/>
    <w:rsid w:val="00907A62"/>
    <w:rsid w:val="009335E6"/>
    <w:rsid w:val="00940B40"/>
    <w:rsid w:val="009451D4"/>
    <w:rsid w:val="009520F4"/>
    <w:rsid w:val="009812E1"/>
    <w:rsid w:val="009B493D"/>
    <w:rsid w:val="009D575A"/>
    <w:rsid w:val="00A27066"/>
    <w:rsid w:val="00A30ADC"/>
    <w:rsid w:val="00A343B9"/>
    <w:rsid w:val="00A4588C"/>
    <w:rsid w:val="00A8185D"/>
    <w:rsid w:val="00B250A7"/>
    <w:rsid w:val="00B533B0"/>
    <w:rsid w:val="00B74C20"/>
    <w:rsid w:val="00B74FAC"/>
    <w:rsid w:val="00B80E49"/>
    <w:rsid w:val="00B853B5"/>
    <w:rsid w:val="00B95213"/>
    <w:rsid w:val="00BD36AB"/>
    <w:rsid w:val="00BE3FF4"/>
    <w:rsid w:val="00BE7FB2"/>
    <w:rsid w:val="00C0313D"/>
    <w:rsid w:val="00C41187"/>
    <w:rsid w:val="00C56E25"/>
    <w:rsid w:val="00C862AE"/>
    <w:rsid w:val="00CA1ECD"/>
    <w:rsid w:val="00CA3383"/>
    <w:rsid w:val="00CC2CD4"/>
    <w:rsid w:val="00CF7B8F"/>
    <w:rsid w:val="00D173E4"/>
    <w:rsid w:val="00D6602E"/>
    <w:rsid w:val="00D76561"/>
    <w:rsid w:val="00D90936"/>
    <w:rsid w:val="00DA3146"/>
    <w:rsid w:val="00DE25A2"/>
    <w:rsid w:val="00DE374D"/>
    <w:rsid w:val="00DF4DFC"/>
    <w:rsid w:val="00E03A8D"/>
    <w:rsid w:val="00E9799C"/>
    <w:rsid w:val="00EA13CC"/>
    <w:rsid w:val="00EA62F0"/>
    <w:rsid w:val="00ED7329"/>
    <w:rsid w:val="00EF5AC0"/>
    <w:rsid w:val="00F1076D"/>
    <w:rsid w:val="00F22B4B"/>
    <w:rsid w:val="00F51B8F"/>
    <w:rsid w:val="00F52945"/>
    <w:rsid w:val="00FA0B8B"/>
    <w:rsid w:val="3B8220DC"/>
    <w:rsid w:val="491C3FC8"/>
    <w:rsid w:val="56EF436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styleId="2">
    <w:name w:val="heading 1"/>
    <w:basedOn w:val="1"/>
    <w:next w:val="1"/>
    <w:link w:val="18"/>
    <w:qFormat/>
    <w:uiPriority w:val="9"/>
    <w:pPr>
      <w:keepNext/>
      <w:keepLines/>
      <w:spacing w:before="340" w:after="330" w:line="578" w:lineRule="auto"/>
      <w:ind w:firstLine="0" w:firstLineChars="0"/>
      <w:outlineLvl w:val="0"/>
    </w:pPr>
    <w:rPr>
      <w:rFonts w:eastAsia="黑体"/>
      <w:b/>
      <w:bCs/>
      <w:kern w:val="44"/>
      <w:sz w:val="32"/>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200" w:leftChars="200"/>
    </w:pPr>
  </w:style>
  <w:style w:type="paragraph" w:styleId="6">
    <w:name w:val="Plain Text"/>
    <w:basedOn w:val="1"/>
    <w:link w:val="24"/>
    <w:qFormat/>
    <w:uiPriority w:val="0"/>
    <w:pPr>
      <w:spacing w:line="240" w:lineRule="auto"/>
      <w:ind w:firstLine="0" w:firstLineChars="0"/>
    </w:pPr>
    <w:rPr>
      <w:rFonts w:ascii="宋体" w:hAnsi="Courier New" w:cs="Courier New" w:eastAsiaTheme="minorEastAsia"/>
      <w:sz w:val="21"/>
      <w:szCs w:val="21"/>
    </w:rPr>
  </w:style>
  <w:style w:type="paragraph" w:styleId="7">
    <w:name w:val="Balloon Text"/>
    <w:basedOn w:val="1"/>
    <w:link w:val="22"/>
    <w:unhideWhenUsed/>
    <w:uiPriority w:val="99"/>
    <w:pPr>
      <w:spacing w:line="240" w:lineRule="auto"/>
    </w:pPr>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pPr>
      <w:numPr>
        <w:ilvl w:val="0"/>
        <w:numId w:val="1"/>
      </w:numPr>
      <w:tabs>
        <w:tab w:val="left" w:pos="840"/>
        <w:tab w:val="right" w:leader="dot" w:pos="8296"/>
      </w:tabs>
      <w:ind w:firstLineChars="0"/>
    </w:pPr>
  </w:style>
  <w:style w:type="paragraph" w:styleId="11">
    <w:name w:val="toc 2"/>
    <w:basedOn w:val="1"/>
    <w:next w:val="1"/>
    <w:unhideWhenUsed/>
    <w:qFormat/>
    <w:uiPriority w:val="39"/>
  </w:style>
  <w:style w:type="paragraph" w:styleId="12">
    <w:name w:val="Normal (Web)"/>
    <w:basedOn w:val="1"/>
    <w:unhideWhenUsed/>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character" w:styleId="14">
    <w:name w:val="Hyperlink"/>
    <w:basedOn w:val="13"/>
    <w:unhideWhenUsed/>
    <w:uiPriority w:val="99"/>
    <w:rPr>
      <w:color w:val="0000FF" w:themeColor="hyperlink"/>
      <w:u w:val="single"/>
      <w14:textFill>
        <w14:solidFill>
          <w14:schemeClr w14:val="hlink"/>
        </w14:solidFill>
      </w14:textFill>
    </w:rPr>
  </w:style>
  <w:style w:type="character" w:customStyle="1" w:styleId="16">
    <w:name w:val="页眉 Char"/>
    <w:basedOn w:val="13"/>
    <w:link w:val="9"/>
    <w:qFormat/>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qFormat/>
    <w:uiPriority w:val="9"/>
    <w:rPr>
      <w:rFonts w:ascii="Calibri" w:hAnsi="Calibri" w:eastAsia="黑体" w:cs="Times New Roman"/>
      <w:b/>
      <w:bCs/>
      <w:kern w:val="44"/>
      <w:sz w:val="32"/>
      <w:szCs w:val="44"/>
    </w:rPr>
  </w:style>
  <w:style w:type="paragraph" w:customStyle="1" w:styleId="19">
    <w:name w:val="zw"/>
    <w:basedOn w:val="1"/>
    <w:qFormat/>
    <w:uiPriority w:val="0"/>
    <w:rPr>
      <w:rFonts w:ascii="仿宋_GB2312" w:hAnsi="Times New Roman" w:eastAsia="仿宋_GB2312"/>
      <w:sz w:val="28"/>
      <w:szCs w:val="28"/>
    </w:rPr>
  </w:style>
  <w:style w:type="paragraph" w:customStyle="1" w:styleId="20">
    <w:name w:val="列出段落1"/>
    <w:basedOn w:val="1"/>
    <w:qFormat/>
    <w:uiPriority w:val="34"/>
    <w:pPr>
      <w:ind w:firstLine="420"/>
    </w:pPr>
  </w:style>
  <w:style w:type="character" w:customStyle="1" w:styleId="21">
    <w:name w:val="标题 2 Char"/>
    <w:basedOn w:val="13"/>
    <w:link w:val="3"/>
    <w:qFormat/>
    <w:uiPriority w:val="9"/>
    <w:rPr>
      <w:rFonts w:asciiTheme="majorHAnsi" w:hAnsiTheme="majorHAnsi" w:eastAsiaTheme="majorEastAsia" w:cstheme="majorBidi"/>
      <w:b/>
      <w:bCs/>
      <w:sz w:val="30"/>
      <w:szCs w:val="32"/>
    </w:rPr>
  </w:style>
  <w:style w:type="character" w:customStyle="1" w:styleId="22">
    <w:name w:val="批注框文本 Char"/>
    <w:basedOn w:val="13"/>
    <w:link w:val="7"/>
    <w:semiHidden/>
    <w:uiPriority w:val="99"/>
    <w:rPr>
      <w:rFonts w:ascii="Calibri" w:hAnsi="Calibri" w:eastAsia="宋体" w:cs="Times New Roman"/>
      <w:sz w:val="18"/>
      <w:szCs w:val="18"/>
    </w:rPr>
  </w:style>
  <w:style w:type="character" w:customStyle="1" w:styleId="23">
    <w:name w:val="标题 3 Char"/>
    <w:basedOn w:val="13"/>
    <w:link w:val="4"/>
    <w:semiHidden/>
    <w:uiPriority w:val="9"/>
    <w:rPr>
      <w:rFonts w:ascii="Calibri" w:hAnsi="Calibri" w:eastAsia="宋体" w:cs="Times New Roman"/>
      <w:b/>
      <w:bCs/>
      <w:sz w:val="32"/>
      <w:szCs w:val="32"/>
    </w:rPr>
  </w:style>
  <w:style w:type="character" w:customStyle="1" w:styleId="24">
    <w:name w:val="纯文本 Char"/>
    <w:link w:val="6"/>
    <w:qFormat/>
    <w:uiPriority w:val="0"/>
    <w:rPr>
      <w:rFonts w:ascii="宋体" w:hAnsi="Courier New" w:cs="Courier New"/>
      <w:szCs w:val="21"/>
    </w:rPr>
  </w:style>
  <w:style w:type="character" w:customStyle="1" w:styleId="25">
    <w:name w:val="纯文本 Char1"/>
    <w:basedOn w:val="13"/>
    <w:semiHidden/>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493ED-89D5-4713-884C-D4AD97749BF3}">
  <ds:schemaRefs/>
</ds:datastoreItem>
</file>

<file path=docProps/app.xml><?xml version="1.0" encoding="utf-8"?>
<Properties xmlns="http://schemas.openxmlformats.org/officeDocument/2006/extended-properties" xmlns:vt="http://schemas.openxmlformats.org/officeDocument/2006/docPropsVTypes">
  <Template>Normal</Template>
  <Pages>13</Pages>
  <Words>1013</Words>
  <Characters>5776</Characters>
  <Lines>48</Lines>
  <Paragraphs>13</Paragraphs>
  <ScaleCrop>false</ScaleCrop>
  <LinksUpToDate>false</LinksUpToDate>
  <CharactersWithSpaces>6776</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2016-08-18T06:12:00Z</dcterms:created>
  <dc:creator>MC SYSTEM</dc:creator>
  <cp:lastModifiedBy>Administrator</cp:lastModifiedBy>
  <dcterms:modified xsi:type="dcterms:W3CDTF">2016-08-25T09:41:36Z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