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numPr>
          <w:ilvl w:val="0"/>
          <w:numId w:val="0"/>
        </w:numPr>
        <w:spacing w:line="360" w:lineRule="auto"/>
        <w:ind w:leftChars="0"/>
        <w:jc w:val="center"/>
        <w:rPr>
          <w:rFonts w:hint="eastAsia" w:asciiTheme="majorEastAsia" w:hAnsiTheme="majorEastAsia" w:eastAsiaTheme="majorEastAsia" w:cstheme="majorEastAsia"/>
          <w:sz w:val="44"/>
          <w:szCs w:val="44"/>
        </w:rPr>
      </w:pPr>
      <w:bookmarkStart w:id="0" w:name="_Toc353438524"/>
      <w:bookmarkStart w:id="1" w:name="_Toc100138352"/>
      <w:bookmarkStart w:id="2" w:name="_Toc100224866"/>
      <w:bookmarkStart w:id="3" w:name="_Toc456353495"/>
    </w:p>
    <w:p>
      <w:pPr>
        <w:pStyle w:val="3"/>
        <w:numPr>
          <w:ilvl w:val="0"/>
          <w:numId w:val="0"/>
        </w:numPr>
        <w:spacing w:line="360" w:lineRule="auto"/>
        <w:ind w:leftChars="0"/>
        <w:jc w:val="center"/>
        <w:rPr>
          <w:rFonts w:hint="eastAsia" w:asciiTheme="majorEastAsia" w:hAnsiTheme="majorEastAsia" w:eastAsiaTheme="majorEastAsia" w:cstheme="majorEastAsia"/>
          <w:sz w:val="44"/>
          <w:szCs w:val="44"/>
          <w:lang w:eastAsia="zh-CN"/>
        </w:rPr>
      </w:pPr>
      <w:bookmarkStart w:id="4" w:name="_Toc29249"/>
      <w:bookmarkStart w:id="5" w:name="_Toc26216"/>
      <w:bookmarkStart w:id="6" w:name="_Toc5488"/>
      <w:bookmarkStart w:id="7" w:name="_Toc20741"/>
      <w:bookmarkStart w:id="8" w:name="_Toc12360"/>
      <w:bookmarkStart w:id="9" w:name="_Toc3615"/>
      <w:bookmarkStart w:id="10" w:name="_Toc9480"/>
      <w:bookmarkStart w:id="11" w:name="_Toc158"/>
      <w:bookmarkStart w:id="12" w:name="_Toc21434"/>
      <w:bookmarkStart w:id="13" w:name="_Toc4956"/>
      <w:bookmarkStart w:id="14" w:name="_Toc24710"/>
      <w:r>
        <w:rPr>
          <w:rFonts w:hint="eastAsia" w:asciiTheme="majorEastAsia" w:hAnsiTheme="majorEastAsia" w:eastAsiaTheme="majorEastAsia" w:cstheme="majorEastAsia"/>
          <w:sz w:val="44"/>
          <w:szCs w:val="44"/>
        </w:rPr>
        <w:t>多气体边界监控系统（ZWIN Site</w:t>
      </w:r>
      <w:r>
        <w:rPr>
          <w:rFonts w:hint="eastAsia" w:asciiTheme="majorEastAsia" w:hAnsiTheme="majorEastAsia" w:eastAsiaTheme="majorEastAsia" w:cstheme="majorEastAsia"/>
          <w:sz w:val="44"/>
          <w:szCs w:val="44"/>
          <w:lang w:val="en-US" w:eastAsia="zh-CN"/>
        </w:rPr>
        <w:t>06</w:t>
      </w:r>
      <w:r>
        <w:rPr>
          <w:rFonts w:hint="eastAsia" w:asciiTheme="majorEastAsia" w:hAnsiTheme="majorEastAsia" w:eastAsiaTheme="majorEastAsia" w:cstheme="majorEastAsia"/>
          <w:sz w:val="44"/>
          <w:szCs w:val="44"/>
          <w:lang w:eastAsia="zh-CN"/>
        </w:rPr>
        <w:t>）</w:t>
      </w:r>
      <w:bookmarkEnd w:id="4"/>
      <w:bookmarkEnd w:id="5"/>
      <w:bookmarkEnd w:id="6"/>
      <w:bookmarkEnd w:id="7"/>
      <w:bookmarkEnd w:id="8"/>
      <w:bookmarkEnd w:id="9"/>
      <w:bookmarkEnd w:id="10"/>
      <w:bookmarkEnd w:id="11"/>
      <w:bookmarkEnd w:id="12"/>
      <w:bookmarkEnd w:id="13"/>
      <w:bookmarkEnd w:id="14"/>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both"/>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bookmarkEnd w:id="0"/>
    <w:bookmarkEnd w:id="1"/>
    <w:bookmarkEnd w:id="2"/>
    <w:bookmarkEnd w:id="3"/>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both"/>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sz w:val="44"/>
          <w:szCs w:val="44"/>
        </w:rPr>
      </w:pPr>
    </w:p>
    <w:p>
      <w:pPr>
        <w:jc w:val="center"/>
        <w:rPr>
          <w:rFonts w:hint="eastAsia"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天津智易时代科技发展有限公司</w:t>
      </w:r>
    </w:p>
    <w:p>
      <w:pPr>
        <w:jc w:val="center"/>
        <w:rPr>
          <w:rFonts w:hint="eastAsia" w:asciiTheme="majorEastAsia" w:hAnsiTheme="majorEastAsia" w:eastAsiaTheme="majorEastAsia" w:cstheme="majorEastAsia"/>
          <w:b/>
          <w:sz w:val="30"/>
          <w:szCs w:val="30"/>
        </w:rPr>
      </w:pPr>
      <w:r>
        <w:rPr>
          <w:rFonts w:hint="eastAsia" w:asciiTheme="majorEastAsia" w:hAnsiTheme="majorEastAsia" w:eastAsiaTheme="majorEastAsia" w:cstheme="majorEastAsia"/>
          <w:b/>
          <w:sz w:val="30"/>
          <w:szCs w:val="30"/>
        </w:rPr>
        <w:t>2016年8月</w:t>
      </w:r>
    </w:p>
    <w:p>
      <w:pPr>
        <w:jc w:val="both"/>
        <w:rPr>
          <w:rFonts w:hint="eastAsia"/>
          <w:b/>
          <w:sz w:val="32"/>
          <w:szCs w:val="32"/>
        </w:rPr>
      </w:pPr>
    </w:p>
    <w:p>
      <w:pPr>
        <w:jc w:val="both"/>
        <w:rPr>
          <w:rFonts w:hint="eastAsia"/>
          <w:b/>
          <w:sz w:val="32"/>
          <w:szCs w:val="32"/>
        </w:rPr>
      </w:pPr>
    </w:p>
    <w:p>
      <w:pPr>
        <w:pStyle w:val="15"/>
        <w:tabs>
          <w:tab w:val="right" w:leader="dot" w:pos="8640"/>
        </w:tabs>
        <w:rPr>
          <w:rFonts w:hint="eastAsia" w:asciiTheme="majorEastAsia" w:hAnsiTheme="majorEastAsia" w:eastAsiaTheme="majorEastAsia" w:cstheme="majorEastAsia"/>
          <w:szCs w:val="24"/>
          <w:lang w:val="en-US" w:eastAsia="zh-CN" w:bidi="ar-SA"/>
        </w:rPr>
        <w:sectPr>
          <w:headerReference r:id="rId3" w:type="default"/>
          <w:footerReference r:id="rId4" w:type="default"/>
          <w:pgSz w:w="12240" w:h="15840"/>
          <w:pgMar w:top="1440" w:right="1800" w:bottom="1440" w:left="1800" w:header="720" w:footer="720" w:gutter="0"/>
          <w:pgNumType w:fmt="decimal"/>
          <w:cols w:space="720" w:num="1"/>
          <w:docGrid w:linePitch="360" w:charSpace="0"/>
        </w:sectPr>
      </w:pPr>
      <w:bookmarkStart w:id="15" w:name="_Toc13387"/>
      <w:bookmarkStart w:id="16" w:name="_Toc29342"/>
      <w:bookmarkStart w:id="17" w:name="_Toc31098"/>
      <w:bookmarkStart w:id="18" w:name="_Toc3296"/>
      <w:bookmarkStart w:id="19" w:name="_Toc456353496"/>
    </w:p>
    <w:p>
      <w:pPr>
        <w:pStyle w:val="15"/>
        <w:tabs>
          <w:tab w:val="right" w:leader="dot" w:pos="8640"/>
        </w:tabs>
        <w:jc w:val="center"/>
        <w:rPr>
          <w:rFonts w:hint="eastAsia" w:asciiTheme="majorEastAsia" w:hAnsiTheme="majorEastAsia" w:eastAsiaTheme="majorEastAsia" w:cstheme="majorEastAsia"/>
          <w:sz w:val="48"/>
          <w:szCs w:val="48"/>
          <w:lang w:val="en-US" w:eastAsia="zh-CN" w:bidi="ar-SA"/>
        </w:rPr>
      </w:pPr>
    </w:p>
    <w:p>
      <w:pPr>
        <w:pStyle w:val="15"/>
        <w:tabs>
          <w:tab w:val="right" w:leader="dot" w:pos="8640"/>
        </w:tabs>
        <w:jc w:val="center"/>
        <w:rPr>
          <w:rFonts w:hint="eastAsia" w:asciiTheme="majorEastAsia" w:hAnsiTheme="majorEastAsia" w:eastAsiaTheme="majorEastAsia" w:cstheme="majorEastAsia"/>
          <w:sz w:val="48"/>
          <w:szCs w:val="48"/>
          <w:lang w:val="en-US" w:eastAsia="zh-CN" w:bidi="ar-SA"/>
        </w:rPr>
      </w:pPr>
      <w:r>
        <w:rPr>
          <w:rFonts w:hint="eastAsia" w:asciiTheme="majorEastAsia" w:hAnsiTheme="majorEastAsia" w:eastAsiaTheme="majorEastAsia" w:cstheme="majorEastAsia"/>
          <w:sz w:val="48"/>
          <w:szCs w:val="48"/>
          <w:lang w:val="en-US" w:eastAsia="zh-CN" w:bidi="ar-SA"/>
        </w:rPr>
        <w:t>目录</w:t>
      </w:r>
    </w:p>
    <w:p>
      <w:pPr>
        <w:pStyle w:val="15"/>
        <w:tabs>
          <w:tab w:val="right" w:leader="dot" w:pos="8640"/>
        </w:tabs>
        <w:ind w:left="0" w:leftChars="0" w:firstLine="0" w:firstLineChars="0"/>
        <w:jc w:val="center"/>
        <w:rPr>
          <w:rFonts w:hint="eastAsia" w:ascii="宋体" w:hAnsi="宋体" w:eastAsia="宋体" w:cs="宋体"/>
          <w:bCs w:val="0"/>
          <w:sz w:val="36"/>
          <w:szCs w:val="36"/>
          <w:lang w:val="en-US" w:eastAsia="zh-CN" w:bidi="ar-SA"/>
        </w:rPr>
      </w:pPr>
    </w:p>
    <w:p>
      <w:pPr>
        <w:pStyle w:val="15"/>
        <w:tabs>
          <w:tab w:val="right" w:leader="dot" w:pos="8640"/>
        </w:tabs>
        <w:ind w:left="0" w:leftChars="0" w:firstLine="0" w:firstLineChars="0"/>
        <w:jc w:val="center"/>
        <w:rPr>
          <w:rFonts w:ascii="宋体" w:hAnsi="宋体" w:eastAsia="宋体" w:cs="宋体"/>
          <w:szCs w:val="24"/>
          <w:lang w:val="en-US" w:eastAsia="zh-CN" w:bidi="ar-SA"/>
        </w:rPr>
      </w:pPr>
      <w:r>
        <w:rPr>
          <w:rFonts w:hint="eastAsia" w:asciiTheme="majorEastAsia" w:hAnsiTheme="majorEastAsia" w:eastAsiaTheme="majorEastAsia" w:cstheme="majorEastAsia"/>
          <w:sz w:val="36"/>
          <w:szCs w:val="36"/>
          <w:lang w:val="en-US" w:eastAsia="zh-CN" w:bidi="ar-SA"/>
        </w:rPr>
        <w:t>一．</w:t>
      </w: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TOC \o "1-3" \h \u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bCs w:val="0"/>
          <w:sz w:val="36"/>
          <w:szCs w:val="36"/>
          <w:lang w:val="en-US" w:eastAsia="zh-CN" w:bidi="ar-SA"/>
        </w:rPr>
        <w:t>背景介绍</w:t>
      </w:r>
      <w:r>
        <w:rPr>
          <w:rFonts w:ascii="宋体" w:hAnsi="宋体" w:eastAsia="宋体" w:cs="宋体"/>
          <w:szCs w:val="24"/>
          <w:lang w:val="en-US" w:eastAsia="zh-CN" w:bidi="ar-SA"/>
        </w:rPr>
        <w:tab/>
      </w:r>
      <w:r>
        <w:rPr>
          <w:rFonts w:hint="eastAsia" w:cs="宋体"/>
          <w:szCs w:val="24"/>
          <w:lang w:val="en-US" w:eastAsia="zh-CN" w:bidi="ar-SA"/>
        </w:rPr>
        <w:t>1</w:t>
      </w:r>
    </w:p>
    <w:p>
      <w:pPr>
        <w:pStyle w:val="12"/>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t xml:space="preserve">    </w:t>
      </w: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_Toc14988 </w:instrText>
      </w:r>
      <w:r>
        <w:rPr>
          <w:rFonts w:hint="eastAsia" w:asciiTheme="majorEastAsia" w:hAnsiTheme="majorEastAsia" w:eastAsiaTheme="majorEastAsia" w:cstheme="majorEastAsia"/>
          <w:szCs w:val="24"/>
          <w:lang w:val="en-US" w:eastAsia="zh-CN" w:bidi="ar-SA"/>
        </w:rPr>
        <w:fldChar w:fldCharType="separate"/>
      </w:r>
      <w:r>
        <w:rPr>
          <w:rFonts w:ascii="宋体" w:hAnsi="宋体" w:eastAsia="宋体" w:cs="宋体"/>
          <w:szCs w:val="24"/>
          <w:lang w:val="en-US" w:eastAsia="zh-CN" w:bidi="ar-SA"/>
        </w:rPr>
        <w:t>1</w:t>
      </w:r>
      <w:r>
        <w:rPr>
          <w:rFonts w:hint="eastAsia" w:ascii="宋体" w:hAnsi="宋体" w:eastAsia="宋体" w:cs="宋体"/>
          <w:bCs w:val="0"/>
          <w:kern w:val="44"/>
          <w:szCs w:val="32"/>
          <w:lang w:val="en-US" w:eastAsia="zh-CN" w:bidi="ar-SA"/>
        </w:rPr>
        <w:t xml:space="preserve">. </w:t>
      </w:r>
      <w:r>
        <w:rPr>
          <w:rFonts w:hint="eastAsia" w:ascii="宋体" w:hAnsi="宋体" w:eastAsia="宋体" w:cs="宋体"/>
          <w:bCs w:val="0"/>
          <w:szCs w:val="32"/>
          <w:lang w:val="en-US" w:eastAsia="zh-CN" w:bidi="ar-SA"/>
        </w:rPr>
        <w:t>项目背景</w:t>
      </w:r>
      <w:r>
        <w:rPr>
          <w:rFonts w:ascii="宋体" w:hAnsi="宋体" w:eastAsia="宋体" w:cs="宋体"/>
          <w:szCs w:val="24"/>
          <w:lang w:val="en-US" w:eastAsia="zh-CN" w:bidi="ar-SA"/>
        </w:rPr>
        <w:tab/>
      </w:r>
      <w:r>
        <w:rPr>
          <w:rFonts w:hint="eastAsia" w:cs="宋体"/>
          <w:szCs w:val="24"/>
          <w:lang w:val="en-US" w:eastAsia="zh-CN" w:bidi="ar-SA"/>
        </w:rPr>
        <w:t>1</w:t>
      </w:r>
      <w:r>
        <w:rPr>
          <w:rFonts w:hint="eastAsia" w:ascii="宋体" w:hAnsi="宋体" w:eastAsia="宋体" w:cs="宋体"/>
          <w:bCs w:val="0"/>
          <w:kern w:val="44"/>
          <w:szCs w:val="32"/>
          <w:lang w:val="en-US" w:eastAsia="zh-CN" w:bidi="ar-SA"/>
        </w:rPr>
        <w:fldChar w:fldCharType="end"/>
      </w:r>
    </w:p>
    <w:p>
      <w:pPr>
        <w:pStyle w:val="15"/>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_Toc15604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w:t>
      </w:r>
      <w:r>
        <w:rPr>
          <w:rFonts w:hint="eastAsia" w:cs="宋体"/>
          <w:szCs w:val="24"/>
          <w:lang w:val="en-US" w:eastAsia="zh-CN" w:bidi="ar-SA"/>
        </w:rPr>
        <w:t xml:space="preserve"> </w:t>
      </w:r>
      <w:r>
        <w:rPr>
          <w:rFonts w:hint="eastAsia" w:ascii="宋体" w:hAnsi="宋体" w:eastAsia="宋体" w:cs="宋体"/>
          <w:szCs w:val="24"/>
          <w:lang w:val="en-US" w:eastAsia="zh-CN" w:bidi="ar-SA"/>
        </w:rPr>
        <w:t>建设依据</w:t>
      </w:r>
      <w:r>
        <w:rPr>
          <w:rFonts w:ascii="宋体" w:hAnsi="宋体" w:eastAsia="宋体" w:cs="宋体"/>
          <w:szCs w:val="24"/>
          <w:lang w:val="en-US" w:eastAsia="zh-CN" w:bidi="ar-SA"/>
        </w:rPr>
        <w:tab/>
      </w:r>
      <w:r>
        <w:rPr>
          <w:rFonts w:hint="eastAsia" w:cs="宋体"/>
          <w:szCs w:val="24"/>
          <w:lang w:val="en-US" w:eastAsia="zh-CN" w:bidi="ar-SA"/>
        </w:rPr>
        <w:t>1</w:t>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ind w:left="0" w:leftChars="0" w:firstLine="0" w:firstLineChars="0"/>
        <w:jc w:val="both"/>
        <w:outlineLvl w:val="2"/>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t xml:space="preserve">        </w:t>
      </w: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_Toc3872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2.1相关政策、规划和工作意见</w:t>
      </w:r>
      <w:r>
        <w:rPr>
          <w:rFonts w:ascii="宋体" w:hAnsi="宋体" w:eastAsia="宋体" w:cs="宋体"/>
          <w:szCs w:val="24"/>
          <w:lang w:val="en-US" w:eastAsia="zh-CN" w:bidi="ar-SA"/>
        </w:rPr>
        <w:tab/>
      </w:r>
      <w:r>
        <w:rPr>
          <w:rFonts w:hint="eastAsia" w:cs="宋体"/>
          <w:szCs w:val="24"/>
          <w:lang w:val="en-US" w:eastAsia="zh-CN" w:bidi="ar-SA"/>
        </w:rPr>
        <w:t>1</w:t>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jc w:val="center"/>
        <w:outlineLvl w:val="2"/>
        <w:rPr>
          <w:rFonts w:hint="eastAsia" w:asciiTheme="majorEastAsia" w:hAnsiTheme="majorEastAsia" w:eastAsiaTheme="majorEastAsia" w:cstheme="majorEastAsia"/>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_Toc17312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2.2相关技术标准规范</w:t>
      </w:r>
      <w:r>
        <w:rPr>
          <w:rFonts w:ascii="宋体" w:hAnsi="宋体" w:eastAsia="宋体" w:cs="宋体"/>
          <w:szCs w:val="24"/>
          <w:lang w:val="en-US" w:eastAsia="zh-CN" w:bidi="ar-SA"/>
        </w:rPr>
        <w:tab/>
      </w:r>
      <w:r>
        <w:rPr>
          <w:rFonts w:hint="eastAsia" w:cs="宋体"/>
          <w:szCs w:val="24"/>
          <w:lang w:val="en-US" w:eastAsia="zh-CN" w:bidi="ar-SA"/>
        </w:rPr>
        <w:t>2</w:t>
      </w:r>
      <w:r>
        <w:rPr>
          <w:rFonts w:hint="eastAsia" w:asciiTheme="majorEastAsia" w:hAnsiTheme="majorEastAsia" w:eastAsiaTheme="majorEastAsia" w:cstheme="majorEastAsia"/>
          <w:szCs w:val="24"/>
          <w:lang w:val="en-US" w:eastAsia="zh-CN" w:bidi="ar-SA"/>
        </w:rPr>
        <w:fldChar w:fldCharType="end"/>
      </w:r>
    </w:p>
    <w:p>
      <w:pPr>
        <w:pStyle w:val="12"/>
        <w:tabs>
          <w:tab w:val="right" w:leader="dot" w:pos="8640"/>
        </w:tabs>
        <w:jc w:val="center"/>
        <w:rPr>
          <w:rFonts w:hint="eastAsia"/>
          <w:lang w:val="en-US" w:eastAsia="zh-CN"/>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_Toc32216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bCs w:val="0"/>
          <w:sz w:val="36"/>
          <w:szCs w:val="36"/>
          <w:lang w:val="en-US" w:eastAsia="zh-CN" w:bidi="ar-SA"/>
        </w:rPr>
        <w:t>二</w:t>
      </w:r>
      <w:r>
        <w:rPr>
          <w:rFonts w:hint="eastAsia" w:ascii="宋体" w:hAnsi="宋体" w:eastAsia="宋体" w:cs="宋体"/>
          <w:bCs w:val="0"/>
          <w:szCs w:val="44"/>
          <w:lang w:val="en-US" w:eastAsia="zh-CN" w:bidi="ar-SA"/>
        </w:rPr>
        <w:t>．</w:t>
      </w:r>
      <w:r>
        <w:rPr>
          <w:rFonts w:hint="eastAsia" w:ascii="宋体" w:hAnsi="宋体" w:eastAsia="宋体" w:cs="宋体"/>
          <w:bCs w:val="0"/>
          <w:sz w:val="36"/>
          <w:szCs w:val="36"/>
          <w:lang w:val="en-US" w:eastAsia="zh-CN" w:bidi="ar-SA"/>
        </w:rPr>
        <w:t>概述</w:t>
      </w:r>
      <w:r>
        <w:rPr>
          <w:rFonts w:ascii="宋体" w:hAnsi="宋体" w:eastAsia="宋体" w:cs="宋体"/>
          <w:szCs w:val="24"/>
          <w:lang w:val="en-US" w:eastAsia="zh-CN" w:bidi="ar-SA"/>
        </w:rPr>
        <w:tab/>
      </w:r>
      <w:r>
        <w:rPr>
          <w:rFonts w:hint="eastAsia" w:cs="宋体"/>
          <w:szCs w:val="24"/>
          <w:lang w:val="en-US" w:eastAsia="zh-CN" w:bidi="ar-SA"/>
        </w:rPr>
        <w:t>3</w:t>
      </w:r>
      <w:r>
        <w:rPr>
          <w:rFonts w:hint="eastAsia" w:asciiTheme="majorEastAsia" w:hAnsiTheme="majorEastAsia" w:eastAsiaTheme="majorEastAsia" w:cstheme="majorEastAsia"/>
          <w:szCs w:val="24"/>
          <w:lang w:val="en-US" w:eastAsia="zh-CN" w:bidi="ar-SA"/>
        </w:rPr>
        <w:fldChar w:fldCharType="end"/>
      </w:r>
    </w:p>
    <w:p>
      <w:pPr>
        <w:pStyle w:val="15"/>
        <w:tabs>
          <w:tab w:val="right" w:leader="dot" w:pos="8640"/>
        </w:tabs>
        <w:ind w:left="0" w:leftChars="0" w:firstLine="0" w:firstLineChars="0"/>
        <w:jc w:val="center"/>
        <w:rPr>
          <w:lang w:val="en-US" w:eastAsia="zh-CN"/>
        </w:rPr>
      </w:pPr>
      <w:r>
        <w:rPr>
          <w:rFonts w:hint="eastAsia" w:asciiTheme="majorEastAsia" w:hAnsiTheme="majorEastAsia" w:eastAsiaTheme="majorEastAsia" w:cstheme="majorEastAsia"/>
          <w:b w:val="0"/>
          <w:bCs w:val="0"/>
          <w:sz w:val="36"/>
          <w:szCs w:val="36"/>
          <w:lang w:eastAsia="zh-CN"/>
        </w:rPr>
        <w:t>三</w:t>
      </w:r>
      <w:r>
        <w:rPr>
          <w:rFonts w:hint="eastAsia" w:asciiTheme="majorEastAsia" w:hAnsiTheme="majorEastAsia" w:eastAsiaTheme="majorEastAsia" w:cstheme="majorEastAsia"/>
          <w:b w:val="0"/>
          <w:bCs w:val="0"/>
          <w:sz w:val="44"/>
          <w:szCs w:val="44"/>
          <w:lang w:eastAsia="zh-CN"/>
        </w:rPr>
        <w:t>．</w:t>
      </w:r>
      <w:r>
        <w:rPr>
          <w:rFonts w:hint="eastAsia" w:asciiTheme="majorEastAsia" w:hAnsiTheme="majorEastAsia" w:eastAsiaTheme="majorEastAsia" w:cstheme="majorEastAsia"/>
          <w:b w:val="0"/>
          <w:bCs w:val="0"/>
          <w:sz w:val="36"/>
          <w:szCs w:val="36"/>
        </w:rPr>
        <w:t>VOC在线监测管理系统建设</w:t>
      </w: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_Toc16260 </w:instrText>
      </w:r>
      <w:r>
        <w:rPr>
          <w:rFonts w:hint="eastAsia" w:asciiTheme="majorEastAsia" w:hAnsiTheme="majorEastAsia" w:eastAsiaTheme="majorEastAsia" w:cstheme="majorEastAsia"/>
          <w:szCs w:val="24"/>
          <w:lang w:val="en-US" w:eastAsia="zh-CN" w:bidi="ar-SA"/>
        </w:rPr>
        <w:fldChar w:fldCharType="separate"/>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_Toc16260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4</w:t>
      </w:r>
      <w:r>
        <w:rPr>
          <w:rFonts w:ascii="宋体" w:hAnsi="宋体" w:eastAsia="宋体" w:cs="宋体"/>
          <w:szCs w:val="24"/>
          <w:lang w:val="en-US" w:eastAsia="zh-CN" w:bidi="ar-SA"/>
        </w:rPr>
        <w:fldChar w:fldCharType="end"/>
      </w:r>
      <w:r>
        <w:rPr>
          <w:rFonts w:hint="eastAsia" w:asciiTheme="majorHAnsi" w:hAnsiTheme="majorHAnsi" w:eastAsiaTheme="majorEastAsia" w:cstheme="majorBidi"/>
          <w:bCs/>
          <w:szCs w:val="32"/>
          <w:lang w:val="en-US" w:eastAsia="zh-CN" w:bidi="ar-SA"/>
        </w:rPr>
        <w:fldChar w:fldCharType="end"/>
      </w:r>
    </w:p>
    <w:p>
      <w:pPr>
        <w:pStyle w:val="15"/>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_Toc16260 </w:instrText>
      </w:r>
      <w:r>
        <w:rPr>
          <w:rFonts w:hint="eastAsia" w:asciiTheme="majorEastAsia" w:hAnsiTheme="majorEastAsia" w:eastAsiaTheme="majorEastAsia" w:cstheme="majorEastAsia"/>
          <w:szCs w:val="24"/>
          <w:lang w:val="en-US" w:eastAsia="zh-CN" w:bidi="ar-SA"/>
        </w:rPr>
        <w:fldChar w:fldCharType="separate"/>
      </w:r>
      <w:r>
        <w:rPr>
          <w:rFonts w:ascii="宋体" w:hAnsi="宋体" w:eastAsia="宋体" w:cs="宋体"/>
          <w:szCs w:val="24"/>
          <w:lang w:val="en-US" w:eastAsia="zh-CN" w:bidi="ar-SA"/>
        </w:rPr>
        <w:t>1</w:t>
      </w:r>
      <w:r>
        <w:rPr>
          <w:rFonts w:hint="eastAsia" w:asciiTheme="majorHAnsi" w:hAnsiTheme="majorHAnsi" w:eastAsiaTheme="majorEastAsia" w:cstheme="majorBidi"/>
          <w:bCs/>
          <w:szCs w:val="32"/>
          <w:lang w:val="en-US" w:eastAsia="zh-CN" w:bidi="ar-SA"/>
        </w:rPr>
        <w:t xml:space="preserve">. </w:t>
      </w:r>
      <w:r>
        <w:rPr>
          <w:rFonts w:hint="eastAsia" w:ascii="宋体" w:hAnsi="宋体" w:eastAsia="宋体" w:cs="宋体"/>
          <w:szCs w:val="24"/>
          <w:lang w:val="en-US" w:eastAsia="zh-CN" w:bidi="ar-SA"/>
        </w:rPr>
        <w:t>系统概况</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_Toc16260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4</w:t>
      </w:r>
      <w:r>
        <w:rPr>
          <w:rFonts w:ascii="宋体" w:hAnsi="宋体" w:eastAsia="宋体" w:cs="宋体"/>
          <w:szCs w:val="24"/>
          <w:lang w:val="en-US" w:eastAsia="zh-CN" w:bidi="ar-SA"/>
        </w:rPr>
        <w:fldChar w:fldCharType="end"/>
      </w:r>
      <w:r>
        <w:rPr>
          <w:rFonts w:hint="eastAsia" w:asciiTheme="majorHAnsi" w:hAnsiTheme="majorHAnsi" w:eastAsiaTheme="majorEastAsia" w:cstheme="majorBidi"/>
          <w:bCs/>
          <w:szCs w:val="32"/>
          <w:lang w:val="en-US" w:eastAsia="zh-CN" w:bidi="ar-SA"/>
        </w:rPr>
        <w:fldChar w:fldCharType="end"/>
      </w:r>
    </w:p>
    <w:p>
      <w:pPr>
        <w:pStyle w:val="15"/>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_Toc28764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2.功能特点</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_Toc28764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6</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_Toc24123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2.1实时数据入库系统</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_Toc24123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6</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_Toc2456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2.2数据存储系统</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_Toc2456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7</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_Toc1541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2.3实时预警系统</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_Toc1541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7</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_Toc15580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2.4数据查询分析应用系统</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_Toc15580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7</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_Toc23792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2.5数据管理系统</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_Toc23792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8</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_Toc5148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2.6数据接口</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_Toc5148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9</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7"/>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_Toc14542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2.7监测设备自动校准</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_Toc14542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9</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15"/>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_Toc31436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32"/>
          <w:lang w:val="en-US" w:eastAsia="zh-CN" w:bidi="ar-SA"/>
        </w:rPr>
        <w:t>3.布点方案</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_Toc31436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9</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15"/>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_Toc14469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4.系统优势</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_Toc14469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10</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15"/>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_Toc30830 </w:instrText>
      </w:r>
      <w:r>
        <w:rPr>
          <w:rFonts w:hint="eastAsia" w:asciiTheme="majorEastAsia" w:hAnsiTheme="majorEastAsia" w:eastAsiaTheme="majorEastAsia" w:cstheme="majorEastAsia"/>
          <w:szCs w:val="24"/>
          <w:lang w:val="en-US" w:eastAsia="zh-CN" w:bidi="ar-SA"/>
        </w:rPr>
        <w:fldChar w:fldCharType="separate"/>
      </w:r>
      <w:r>
        <w:rPr>
          <w:rFonts w:hint="eastAsia" w:ascii="宋体" w:hAnsi="宋体" w:eastAsia="宋体" w:cs="宋体"/>
          <w:szCs w:val="24"/>
          <w:lang w:val="en-US" w:eastAsia="zh-CN" w:bidi="ar-SA"/>
        </w:rPr>
        <w:t>5.项目效益</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_Toc30830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10</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15"/>
        <w:tabs>
          <w:tab w:val="right" w:leader="dot" w:pos="8640"/>
        </w:tabs>
        <w:jc w:val="center"/>
        <w:rPr>
          <w:rFonts w:hint="eastAsia" w:asciiTheme="majorEastAsia" w:hAnsiTheme="majorEastAsia" w:eastAsiaTheme="majorEastAsia" w:cstheme="majorEastAsia"/>
          <w:szCs w:val="24"/>
          <w:lang w:val="en-US" w:eastAsia="zh-CN" w:bidi="ar-SA"/>
        </w:rPr>
      </w:pPr>
      <w:r>
        <w:rPr>
          <w:rFonts w:hint="eastAsia" w:asciiTheme="majorEastAsia" w:hAnsiTheme="majorEastAsia" w:eastAsiaTheme="majorEastAsia" w:cstheme="majorEastAsia"/>
          <w:sz w:val="36"/>
          <w:szCs w:val="36"/>
          <w:lang w:val="en-US" w:eastAsia="zh-CN" w:bidi="ar-SA"/>
        </w:rPr>
        <w:t>附录</w:t>
      </w:r>
    </w:p>
    <w:p>
      <w:pPr>
        <w:pStyle w:val="15"/>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_Toc225 </w:instrText>
      </w:r>
      <w:r>
        <w:rPr>
          <w:rFonts w:hint="eastAsia" w:asciiTheme="majorEastAsia" w:hAnsiTheme="majorEastAsia" w:eastAsiaTheme="majorEastAsia" w:cstheme="majorEastAsia"/>
          <w:szCs w:val="24"/>
          <w:lang w:val="en-US" w:eastAsia="zh-CN" w:bidi="ar-SA"/>
        </w:rPr>
        <w:fldChar w:fldCharType="separate"/>
      </w:r>
      <w:r>
        <w:rPr>
          <w:rFonts w:hint="eastAsia" w:asciiTheme="minorEastAsia" w:hAnsiTheme="minorEastAsia" w:eastAsiaTheme="minorEastAsia" w:cstheme="minorEastAsia"/>
          <w:szCs w:val="36"/>
          <w:lang w:val="en-US" w:eastAsia="zh-CN" w:bidi="ar-SA"/>
        </w:rPr>
        <w:t>（一）技术参数</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_Toc225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11</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15"/>
        <w:tabs>
          <w:tab w:val="right" w:leader="dot" w:pos="8640"/>
        </w:tabs>
        <w:jc w:val="center"/>
        <w:rPr>
          <w:rFonts w:ascii="宋体" w:hAnsi="宋体" w:eastAsia="宋体" w:cs="宋体"/>
          <w:szCs w:val="24"/>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_Toc13488 </w:instrText>
      </w:r>
      <w:r>
        <w:rPr>
          <w:rFonts w:hint="eastAsia" w:asciiTheme="majorEastAsia" w:hAnsiTheme="majorEastAsia" w:eastAsiaTheme="majorEastAsia" w:cstheme="majorEastAsia"/>
          <w:szCs w:val="24"/>
          <w:lang w:val="en-US" w:eastAsia="zh-CN" w:bidi="ar-SA"/>
        </w:rPr>
        <w:fldChar w:fldCharType="separate"/>
      </w:r>
      <w:r>
        <w:rPr>
          <w:rFonts w:hint="eastAsia" w:asciiTheme="minorEastAsia" w:hAnsiTheme="minorEastAsia" w:eastAsiaTheme="minorEastAsia" w:cstheme="minorEastAsia"/>
          <w:szCs w:val="36"/>
          <w:lang w:val="en-US" w:eastAsia="zh-CN" w:bidi="ar-SA"/>
        </w:rPr>
        <w:t>（二）传感器参数*</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_Toc13488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12</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15"/>
        <w:tabs>
          <w:tab w:val="right" w:leader="dot" w:pos="8640"/>
        </w:tabs>
        <w:jc w:val="center"/>
        <w:rPr>
          <w:rFonts w:hint="eastAsia" w:asciiTheme="minorEastAsia" w:hAnsiTheme="minorEastAsia" w:eastAsiaTheme="minorEastAsia" w:cstheme="minorEastAsia"/>
          <w:szCs w:val="36"/>
          <w:lang w:val="en-US" w:eastAsia="zh-CN" w:bidi="ar-SA"/>
        </w:rPr>
      </w:pP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_Toc191 </w:instrText>
      </w:r>
      <w:r>
        <w:rPr>
          <w:rFonts w:hint="eastAsia" w:asciiTheme="majorEastAsia" w:hAnsiTheme="majorEastAsia" w:eastAsiaTheme="majorEastAsia" w:cstheme="majorEastAsia"/>
          <w:szCs w:val="24"/>
          <w:lang w:val="en-US" w:eastAsia="zh-CN" w:bidi="ar-SA"/>
        </w:rPr>
        <w:fldChar w:fldCharType="separate"/>
      </w:r>
      <w:r>
        <w:rPr>
          <w:rFonts w:hint="eastAsia" w:asciiTheme="minorEastAsia" w:hAnsiTheme="minorEastAsia" w:eastAsiaTheme="minorEastAsia" w:cstheme="minorEastAsia"/>
          <w:szCs w:val="36"/>
          <w:lang w:val="en-US" w:eastAsia="zh-CN" w:bidi="ar-SA"/>
        </w:rPr>
        <w:t>（三）</w:t>
      </w:r>
      <w:r>
        <w:rPr>
          <w:rFonts w:hint="eastAsia" w:asciiTheme="majorEastAsia" w:hAnsiTheme="majorEastAsia" w:eastAsiaTheme="majorEastAsia" w:cstheme="majorEastAsia"/>
          <w:szCs w:val="24"/>
          <w:lang w:val="en-US" w:eastAsia="zh-CN" w:bidi="ar-SA"/>
        </w:rPr>
        <w:fldChar w:fldCharType="begin"/>
      </w:r>
      <w:r>
        <w:rPr>
          <w:rFonts w:hint="eastAsia" w:asciiTheme="majorEastAsia" w:hAnsiTheme="majorEastAsia" w:eastAsiaTheme="majorEastAsia" w:cstheme="majorEastAsia"/>
          <w:szCs w:val="24"/>
          <w:lang w:val="en-US" w:eastAsia="zh-CN" w:bidi="ar-SA"/>
        </w:rPr>
        <w:instrText xml:space="preserve"> HYPERLINK \l _Toc191 </w:instrText>
      </w:r>
      <w:r>
        <w:rPr>
          <w:rFonts w:hint="eastAsia" w:asciiTheme="majorEastAsia" w:hAnsiTheme="majorEastAsia" w:eastAsiaTheme="majorEastAsia" w:cstheme="majorEastAsia"/>
          <w:szCs w:val="24"/>
          <w:lang w:val="en-US" w:eastAsia="zh-CN" w:bidi="ar-SA"/>
        </w:rPr>
        <w:fldChar w:fldCharType="separate"/>
      </w:r>
      <w:r>
        <w:rPr>
          <w:rFonts w:hint="eastAsia" w:asciiTheme="minorEastAsia" w:hAnsiTheme="minorEastAsia" w:eastAsiaTheme="minorEastAsia" w:cstheme="minorEastAsia"/>
          <w:szCs w:val="36"/>
          <w:lang w:val="en-US" w:eastAsia="zh-CN" w:bidi="ar-SA"/>
        </w:rPr>
        <w:t>外形</w:t>
      </w:r>
      <w:r>
        <w:rPr>
          <w:rFonts w:ascii="宋体" w:hAnsi="宋体" w:eastAsia="宋体" w:cs="宋体"/>
          <w:szCs w:val="24"/>
          <w:lang w:val="en-US" w:eastAsia="zh-CN" w:bidi="ar-SA"/>
        </w:rPr>
        <w:tab/>
      </w:r>
      <w:r>
        <w:rPr>
          <w:rFonts w:ascii="宋体" w:hAnsi="宋体" w:eastAsia="宋体" w:cs="宋体"/>
          <w:szCs w:val="24"/>
          <w:lang w:val="en-US" w:eastAsia="zh-CN" w:bidi="ar-SA"/>
        </w:rPr>
        <w:fldChar w:fldCharType="begin"/>
      </w:r>
      <w:r>
        <w:rPr>
          <w:rFonts w:ascii="宋体" w:hAnsi="宋体" w:eastAsia="宋体" w:cs="宋体"/>
          <w:szCs w:val="24"/>
          <w:lang w:val="en-US" w:eastAsia="zh-CN" w:bidi="ar-SA"/>
        </w:rPr>
        <w:instrText xml:space="preserve"> PAGEREF _Toc191 </w:instrText>
      </w:r>
      <w:r>
        <w:rPr>
          <w:rFonts w:ascii="宋体" w:hAnsi="宋体" w:eastAsia="宋体" w:cs="宋体"/>
          <w:szCs w:val="24"/>
          <w:lang w:val="en-US" w:eastAsia="zh-CN" w:bidi="ar-SA"/>
        </w:rPr>
        <w:fldChar w:fldCharType="separate"/>
      </w:r>
      <w:r>
        <w:rPr>
          <w:rFonts w:ascii="宋体" w:hAnsi="宋体" w:eastAsia="宋体" w:cs="宋体"/>
          <w:szCs w:val="24"/>
          <w:lang w:val="en-US" w:eastAsia="zh-CN" w:bidi="ar-SA"/>
        </w:rPr>
        <w:t>12</w:t>
      </w:r>
      <w:r>
        <w:rPr>
          <w:rFonts w:ascii="宋体" w:hAnsi="宋体" w:eastAsia="宋体" w:cs="宋体"/>
          <w:szCs w:val="24"/>
          <w:lang w:val="en-US" w:eastAsia="zh-CN" w:bidi="ar-SA"/>
        </w:rPr>
        <w:fldChar w:fldCharType="end"/>
      </w:r>
      <w:r>
        <w:rPr>
          <w:rFonts w:hint="eastAsia" w:asciiTheme="majorEastAsia" w:hAnsiTheme="majorEastAsia" w:eastAsiaTheme="majorEastAsia" w:cstheme="majorEastAsia"/>
          <w:szCs w:val="24"/>
          <w:lang w:val="en-US" w:eastAsia="zh-CN" w:bidi="ar-SA"/>
        </w:rPr>
        <w:fldChar w:fldCharType="end"/>
      </w:r>
    </w:p>
    <w:p>
      <w:pPr>
        <w:pStyle w:val="15"/>
        <w:tabs>
          <w:tab w:val="right" w:leader="dot" w:pos="8640"/>
        </w:tabs>
        <w:jc w:val="center"/>
        <w:rPr>
          <w:rFonts w:ascii="宋体" w:hAnsi="宋体" w:eastAsia="宋体" w:cs="宋体"/>
          <w:szCs w:val="24"/>
          <w:lang w:val="en-US" w:eastAsia="zh-CN" w:bidi="ar-SA"/>
        </w:rPr>
      </w:pPr>
      <w:r>
        <w:rPr>
          <w:rFonts w:hint="eastAsia" w:asciiTheme="minorEastAsia" w:hAnsiTheme="minorEastAsia" w:eastAsiaTheme="minorEastAsia" w:cstheme="minorEastAsia"/>
          <w:sz w:val="24"/>
          <w:szCs w:val="36"/>
          <w:lang w:val="en-US" w:eastAsia="zh-CN" w:bidi="ar-SA"/>
        </w:rPr>
        <w:t>（四）</w:t>
      </w:r>
      <w:r>
        <w:rPr>
          <w:rFonts w:hint="default" w:asciiTheme="minorEastAsia" w:hAnsiTheme="minorEastAsia" w:eastAsiaTheme="minorEastAsia" w:cstheme="minorEastAsia"/>
          <w:sz w:val="24"/>
          <w:szCs w:val="36"/>
          <w:lang w:val="en-US" w:eastAsia="zh-CN" w:bidi="ar-SA"/>
        </w:rPr>
        <w:t>VOCS在线监测系统</w:t>
      </w:r>
      <w:r>
        <w:rPr>
          <w:rFonts w:hint="eastAsia" w:asciiTheme="minorEastAsia" w:hAnsiTheme="minorEastAsia" w:eastAsiaTheme="minorEastAsia" w:cstheme="minorEastAsia"/>
          <w:sz w:val="24"/>
          <w:szCs w:val="36"/>
          <w:lang w:val="en-US" w:eastAsia="zh-CN" w:bidi="ar-SA"/>
        </w:rPr>
        <w:t xml:space="preserve">(FID)主要参数 </w:t>
      </w:r>
      <w:r>
        <w:rPr>
          <w:rFonts w:ascii="宋体" w:hAnsi="宋体" w:eastAsia="宋体" w:cs="宋体"/>
          <w:szCs w:val="24"/>
          <w:lang w:val="en-US" w:eastAsia="zh-CN" w:bidi="ar-SA"/>
        </w:rPr>
        <w:tab/>
      </w:r>
      <w:r>
        <w:rPr>
          <w:rFonts w:hint="eastAsia" w:cs="宋体"/>
          <w:szCs w:val="24"/>
          <w:lang w:val="en-US" w:eastAsia="zh-CN" w:bidi="ar-SA"/>
        </w:rPr>
        <w:t>1</w:t>
      </w:r>
      <w:r>
        <w:rPr>
          <w:rFonts w:hint="eastAsia" w:asciiTheme="majorEastAsia" w:hAnsiTheme="majorEastAsia" w:eastAsiaTheme="majorEastAsia" w:cstheme="majorEastAsia"/>
          <w:szCs w:val="24"/>
          <w:lang w:val="en-US" w:eastAsia="zh-CN" w:bidi="ar-SA"/>
        </w:rPr>
        <w:fldChar w:fldCharType="end"/>
      </w:r>
      <w:r>
        <w:rPr>
          <w:rFonts w:hint="eastAsia" w:asciiTheme="majorEastAsia" w:hAnsiTheme="majorEastAsia" w:eastAsiaTheme="majorEastAsia" w:cstheme="majorEastAsia"/>
          <w:szCs w:val="24"/>
          <w:lang w:val="en-US" w:eastAsia="zh-CN" w:bidi="ar-SA"/>
        </w:rPr>
        <w:t>3</w:t>
      </w:r>
    </w:p>
    <w:p>
      <w:pPr>
        <w:keepNext w:val="0"/>
        <w:keepLines w:val="0"/>
        <w:pageBreakBefore w:val="0"/>
        <w:widowControl/>
        <w:kinsoku/>
        <w:wordWrap/>
        <w:overflowPunct/>
        <w:topLinePunct w:val="0"/>
        <w:autoSpaceDE/>
        <w:autoSpaceDN/>
        <w:bidi w:val="0"/>
        <w:adjustRightInd/>
        <w:snapToGrid/>
        <w:spacing w:line="360" w:lineRule="auto"/>
        <w:ind w:right="0" w:rightChars="0" w:firstLine="0" w:firstLineChars="0"/>
        <w:jc w:val="both"/>
        <w:textAlignment w:val="auto"/>
        <w:outlineLvl w:val="9"/>
        <w:rPr>
          <w:rFonts w:hint="eastAsia" w:asciiTheme="minorEastAsia" w:hAnsiTheme="minorEastAsia" w:eastAsiaTheme="minorEastAsia" w:cstheme="minorEastAsia"/>
          <w:sz w:val="24"/>
          <w:szCs w:val="36"/>
          <w:lang w:val="en-US" w:eastAsia="zh-CN" w:bidi="ar-SA"/>
        </w:rPr>
      </w:pPr>
      <w:r>
        <w:rPr>
          <w:rFonts w:hint="eastAsia" w:asciiTheme="majorEastAsia" w:hAnsiTheme="majorEastAsia" w:eastAsiaTheme="majorEastAsia" w:cstheme="majorEastAsia"/>
          <w:szCs w:val="24"/>
          <w:lang w:val="en-US" w:eastAsia="zh-CN" w:bidi="ar-SA"/>
        </w:rPr>
        <w:fldChar w:fldCharType="end"/>
      </w:r>
      <w:bookmarkEnd w:id="15"/>
      <w:bookmarkEnd w:id="16"/>
      <w:bookmarkEnd w:id="17"/>
      <w:bookmarkEnd w:id="18"/>
      <w:bookmarkEnd w:id="19"/>
      <w:r>
        <w:rPr>
          <w:rFonts w:hint="eastAsia" w:asciiTheme="majorEastAsia" w:hAnsiTheme="majorEastAsia" w:eastAsiaTheme="majorEastAsia" w:cstheme="majorEastAsia"/>
          <w:szCs w:val="24"/>
          <w:lang w:val="en-US" w:eastAsia="zh-CN" w:bidi="ar-SA"/>
        </w:rPr>
        <w:t xml:space="preserve">    </w:t>
      </w:r>
      <w:r>
        <w:rPr>
          <w:rFonts w:hint="eastAsia" w:asciiTheme="minorEastAsia" w:hAnsiTheme="minorEastAsia" w:eastAsiaTheme="minorEastAsia" w:cstheme="minorEastAsia"/>
          <w:sz w:val="24"/>
          <w:szCs w:val="36"/>
          <w:lang w:val="en-US" w:eastAsia="zh-CN" w:bidi="ar-SA"/>
        </w:rPr>
        <w:t xml:space="preserve">       </w:t>
      </w:r>
    </w:p>
    <w:p>
      <w:pPr>
        <w:rPr>
          <w:rFonts w:hint="eastAsia" w:asciiTheme="majorEastAsia" w:hAnsiTheme="majorEastAsia" w:eastAsiaTheme="majorEastAsia" w:cstheme="majorEastAsia"/>
          <w:b/>
          <w:bCs/>
          <w:sz w:val="44"/>
          <w:szCs w:val="44"/>
          <w:lang w:eastAsia="zh-CN"/>
        </w:rPr>
        <w:sectPr>
          <w:footerReference r:id="rId5" w:type="default"/>
          <w:pgSz w:w="12240" w:h="15840"/>
          <w:pgMar w:top="1440" w:right="1800" w:bottom="1440" w:left="1800" w:header="720" w:footer="720" w:gutter="0"/>
          <w:pgNumType w:fmt="decimal"/>
          <w:cols w:space="720" w:num="1"/>
          <w:docGrid w:linePitch="360" w:charSpace="0"/>
        </w:sectPr>
      </w:pPr>
      <w:r>
        <w:rPr>
          <w:rFonts w:ascii="宋体" w:hAnsi="宋体" w:eastAsia="宋体" w:cs="宋体"/>
          <w:szCs w:val="24"/>
          <w:lang w:val="en-US" w:eastAsia="zh-CN" w:bidi="ar-SA"/>
        </w:rPr>
        <w:tab/>
      </w:r>
    </w:p>
    <w:p>
      <w:pPr>
        <w:pStyle w:val="2"/>
        <w:keepNext/>
        <w:keepLines/>
        <w:pageBreakBefore w:val="0"/>
        <w:widowControl/>
        <w:numPr>
          <w:ilvl w:val="0"/>
          <w:numId w:val="0"/>
        </w:numPr>
        <w:kinsoku/>
        <w:wordWrap/>
        <w:overflowPunct/>
        <w:topLinePunct w:val="0"/>
        <w:autoSpaceDE/>
        <w:autoSpaceDN/>
        <w:bidi w:val="0"/>
        <w:adjustRightInd/>
        <w:snapToGrid/>
        <w:spacing w:line="360" w:lineRule="auto"/>
        <w:ind w:leftChars="0" w:right="0" w:rightChars="0"/>
        <w:jc w:val="left"/>
        <w:textAlignment w:val="auto"/>
        <w:outlineLvl w:val="0"/>
        <w:rPr>
          <w:rFonts w:hint="eastAsia"/>
          <w:b/>
          <w:bCs w:val="0"/>
          <w:sz w:val="44"/>
          <w:szCs w:val="44"/>
        </w:rPr>
      </w:pPr>
      <w:r>
        <w:rPr>
          <w:rFonts w:hint="eastAsia" w:asciiTheme="majorEastAsia" w:hAnsiTheme="majorEastAsia" w:eastAsiaTheme="majorEastAsia" w:cstheme="majorEastAsia"/>
          <w:b/>
          <w:bCs/>
          <w:sz w:val="44"/>
          <w:szCs w:val="44"/>
          <w:lang w:eastAsia="zh-CN"/>
        </w:rPr>
        <w:t>一．</w:t>
      </w:r>
      <w:r>
        <w:rPr>
          <w:rFonts w:hint="eastAsia"/>
          <w:b/>
          <w:bCs w:val="0"/>
          <w:sz w:val="44"/>
          <w:szCs w:val="44"/>
        </w:rPr>
        <w:t>背景介绍</w:t>
      </w:r>
    </w:p>
    <w:p>
      <w:pPr>
        <w:pStyle w:val="2"/>
        <w:keepNext/>
        <w:keepLines/>
        <w:pageBreakBefore w:val="0"/>
        <w:widowControl/>
        <w:numPr>
          <w:ilvl w:val="0"/>
          <w:numId w:val="1"/>
        </w:numPr>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0"/>
        <w:rPr>
          <w:rFonts w:hint="eastAsia"/>
          <w:sz w:val="24"/>
          <w:szCs w:val="24"/>
        </w:rPr>
      </w:pPr>
      <w:r>
        <w:rPr>
          <w:rFonts w:hint="eastAsia" w:ascii="宋体" w:hAnsi="宋体" w:eastAsia="宋体" w:cs="宋体"/>
          <w:b/>
          <w:bCs w:val="0"/>
          <w:sz w:val="32"/>
          <w:szCs w:val="32"/>
        </w:rPr>
        <w:t>项目背景</w:t>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随着经济的快速发展，污染源的种类日益增多，特别是化工区、工业集中区及周边环境，污染方式与生态破坏类型日趋复杂，环境污染负荷逐渐增加，环境污染事故时有发生。同时，随着公众环境意识逐渐增强，各类环境污染投诉纠纷日益频繁，因此对环境监测的种类、要求越来越高。</w:t>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在“十二五”期间，政府着力打造以空气环境监测，水质监测，污染源监测为主体的国家环境监测网络，形成了我国环境监测的基本框架。“十三五”规划建议中已经明确“以提高环境质量为核心”，从目前环保部力推的“气，水，土三大战役”的初步效果来看，下一步对于环境质量的改善则是对于现有治理设施和治理手段的检验。而对于三个领域治理效果的检验，依赖于全面有效的环境监测网络。</w:t>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国务院印发的《生态环境监测网络建设方案的通知》提出建设主要目标：到2020年，全国生态环境监测网络基本实现环境质量、重点污染源、生态状况监测全覆盖，各级各类监测数据系统互联共享，监测预报预警、信息化能力和保障水平明显提升，监测与监管协同联动，初步建成陆海统筹、天地一体、上下协同、信息共享的生态环境监测网络。</w:t>
      </w:r>
    </w:p>
    <w:p>
      <w:pPr>
        <w:pStyle w:val="3"/>
        <w:pageBreakBefore w:val="0"/>
        <w:widowControl/>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建设依据</w:t>
      </w:r>
    </w:p>
    <w:p>
      <w:pPr>
        <w:pStyle w:val="4"/>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rPr>
      </w:pPr>
      <w:r>
        <w:rPr>
          <w:rFonts w:hint="eastAsia"/>
          <w:lang w:val="en-US" w:eastAsia="zh-CN"/>
        </w:rPr>
        <w:t xml:space="preserve">       </w:t>
      </w:r>
      <w:r>
        <w:rPr>
          <w:rFonts w:hint="eastAsia"/>
        </w:rPr>
        <w:t>2.1相关政策、规划和工作意见</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rPr>
        <w:sectPr>
          <w:footerReference r:id="rId6" w:type="default"/>
          <w:pgSz w:w="12240" w:h="15840"/>
          <w:pgMar w:top="1440" w:right="1800" w:bottom="1440" w:left="1800" w:header="720" w:footer="720" w:gutter="0"/>
          <w:pgNumType w:fmt="decimal" w:start="1"/>
          <w:cols w:space="720" w:num="1"/>
          <w:docGrid w:linePitch="360" w:charSpace="0"/>
        </w:sectPr>
      </w:pPr>
      <w:r>
        <w:rPr>
          <w:rFonts w:hint="eastAsia"/>
        </w:rPr>
        <w:t>《国务院关于印发国家环境保护“十二五”规划的通知》（国发〔2011〕42号）</w:t>
      </w:r>
      <w:r>
        <w:rPr>
          <w:rFonts w:hint="eastAsia"/>
        </w:rPr>
        <w:br w:type="textWrapping"/>
      </w:r>
      <w:r>
        <w:rPr>
          <w:rFonts w:hint="eastAsia"/>
        </w:rPr>
        <w:t>《国务院关于加强环境保护重点工作的意见》（国发〔2011〕35号）</w:t>
      </w:r>
      <w:r>
        <w:rPr>
          <w:rFonts w:hint="eastAsia"/>
        </w:rPr>
        <w:br w:type="textWrapping"/>
      </w:r>
      <w:r>
        <w:rPr>
          <w:rFonts w:hint="eastAsia"/>
        </w:rPr>
        <w:t>《大气污染防治行动计划》（国发〔2013〕37号）</w:t>
      </w:r>
      <w:r>
        <w:rPr>
          <w:rFonts w:hint="eastAsia"/>
        </w:rPr>
        <w:br w:type="textWrapping"/>
      </w:r>
      <w:r>
        <w:rPr>
          <w:rFonts w:hint="eastAsia"/>
        </w:rPr>
        <w:t>《环境保护部 国家发展改革委 财政部关于印发国家环境监管能力建设“十二五”规划的通知》（环发〔2013〕61号）</w:t>
      </w:r>
      <w:r>
        <w:rPr>
          <w:rFonts w:hint="eastAsia"/>
        </w:rPr>
        <w:br w:type="textWrapping"/>
      </w:r>
      <w:r>
        <w:rPr>
          <w:rFonts w:hint="eastAsia"/>
        </w:rPr>
        <w:t>《国务院办公厅关于推进应急体系重点项目建设的实施意见》（国办函〔2013〕3</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rPr>
      </w:pPr>
      <w:r>
        <w:rPr>
          <w:rFonts w:hint="eastAsia"/>
        </w:rPr>
        <w:t>号）</w:t>
      </w:r>
      <w:r>
        <w:rPr>
          <w:rFonts w:hint="eastAsia"/>
        </w:rPr>
        <w:br w:type="textWrapping"/>
      </w:r>
      <w:r>
        <w:rPr>
          <w:rFonts w:hint="eastAsia"/>
        </w:rPr>
        <w:t>《关于印发〈化学品环境风险防控“十二五”规划〉的通知》（环发〔2013〕20号）</w:t>
      </w:r>
      <w:r>
        <w:rPr>
          <w:rFonts w:hint="eastAsia"/>
        </w:rPr>
        <w:br w:type="textWrapping"/>
      </w:r>
      <w:r>
        <w:rPr>
          <w:rFonts w:hint="eastAsia"/>
        </w:rPr>
        <w:t>《国家环境监测“十二五”规划》（环发〔2011〕112号）</w:t>
      </w:r>
      <w:r>
        <w:rPr>
          <w:rFonts w:hint="eastAsia"/>
        </w:rPr>
        <w:br w:type="textWrapping"/>
      </w:r>
      <w:r>
        <w:rPr>
          <w:rFonts w:hint="eastAsia"/>
        </w:rPr>
        <w:t>《环境保护部关于印发〈先进的环境监测预警体系建设纲要（2010-2020）〉的通知》（环发〔2009〕156号）</w:t>
      </w:r>
      <w:r>
        <w:rPr>
          <w:rFonts w:hint="eastAsia"/>
        </w:rPr>
        <w:br w:type="textWrapping"/>
      </w:r>
      <w:r>
        <w:rPr>
          <w:rFonts w:hint="eastAsia"/>
        </w:rPr>
        <w:t>《环境保护部关于加强化工园区环境保护工作的意见》（环发〔2012〕54号）</w:t>
      </w:r>
      <w:r>
        <w:rPr>
          <w:rFonts w:hint="eastAsia"/>
        </w:rPr>
        <w:br w:type="textWrapping"/>
      </w:r>
      <w:r>
        <w:rPr>
          <w:rFonts w:hint="eastAsia"/>
        </w:rPr>
        <w:t>《关于印发〈全国环保部门环境应急能力建设标准〉的通知》（环发〔2010〕146号）</w:t>
      </w:r>
      <w:r>
        <w:rPr>
          <w:rFonts w:hint="eastAsia"/>
        </w:rPr>
        <w:br w:type="textWrapping"/>
      </w:r>
      <w:r>
        <w:rPr>
          <w:rFonts w:hint="eastAsia"/>
        </w:rPr>
        <w:t>《环境保护部关于加强环境应急管理工作的意见》（环发〔2009〕130号）</w:t>
      </w:r>
      <w:r>
        <w:rPr>
          <w:rFonts w:hint="eastAsia"/>
        </w:rPr>
        <w:br w:type="textWrapping"/>
      </w:r>
      <w:r>
        <w:rPr>
          <w:rFonts w:hint="eastAsia"/>
        </w:rPr>
        <w:t>《环境保护部关于印发〈2013年全国环境应急管理工作要点〉的通知》（环办〔2013〕10号）</w:t>
      </w:r>
      <w:r>
        <w:rPr>
          <w:rFonts w:hint="eastAsia"/>
        </w:rPr>
        <w:br w:type="textWrapping"/>
      </w:r>
      <w:r>
        <w:rPr>
          <w:rFonts w:hint="eastAsia"/>
        </w:rPr>
        <w:t>《中央财政主要污染物减排专项资金管理暂行办法》（财建〔2007〕67号）</w:t>
      </w:r>
      <w:r>
        <w:rPr>
          <w:rFonts w:hint="eastAsia"/>
        </w:rPr>
        <w:br w:type="textWrapping"/>
      </w:r>
      <w:r>
        <w:rPr>
          <w:rFonts w:hint="eastAsia"/>
        </w:rPr>
        <w:t>《中央财政主要污染物减排专项资金项目管理暂行办法》（环发〔2007〕67号）</w:t>
      </w:r>
    </w:p>
    <w:p>
      <w:pPr>
        <w:pStyle w:val="4"/>
        <w:ind w:firstLine="600"/>
        <w:rPr>
          <w:rFonts w:hint="eastAsia"/>
        </w:rPr>
      </w:pPr>
      <w:r>
        <w:rPr>
          <w:rFonts w:hint="eastAsia"/>
        </w:rPr>
        <w:t>2.2相关技术标准规范</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eastAsia" w:asciiTheme="majorEastAsia" w:hAnsiTheme="majorEastAsia" w:eastAsiaTheme="majorEastAsia" w:cstheme="majorEastAsia"/>
          <w:b/>
          <w:bCs/>
          <w:sz w:val="44"/>
          <w:szCs w:val="44"/>
          <w:lang w:eastAsia="zh-CN"/>
        </w:rPr>
      </w:pPr>
      <w:r>
        <w:rPr>
          <w:rFonts w:hint="eastAsia"/>
        </w:rPr>
        <w:t>《工业企业挥发性有机物排放控制标准》(DB12/524-2014)</w:t>
      </w:r>
      <w:r>
        <w:rPr>
          <w:rFonts w:hint="eastAsia"/>
        </w:rPr>
        <w:br w:type="textWrapping"/>
      </w:r>
      <w:r>
        <w:rPr>
          <w:rFonts w:hint="eastAsia"/>
        </w:rPr>
        <w:t>《环境空气质量标准》（GB3095-2012）</w:t>
      </w:r>
      <w:r>
        <w:rPr>
          <w:rFonts w:hint="eastAsia"/>
        </w:rPr>
        <w:br w:type="textWrapping"/>
      </w:r>
      <w:r>
        <w:rPr>
          <w:rFonts w:hint="eastAsia"/>
        </w:rPr>
        <w:t>《大气污染物综合排放标准》（GB16297-1996）</w:t>
      </w:r>
      <w:r>
        <w:rPr>
          <w:rFonts w:hint="eastAsia"/>
        </w:rPr>
        <w:br w:type="textWrapping"/>
      </w:r>
      <w:r>
        <w:rPr>
          <w:rFonts w:hint="eastAsia"/>
        </w:rPr>
        <w:t>《环境空气质量监测规范》（试行）（总局公告2007年第4号）</w:t>
      </w:r>
      <w:r>
        <w:rPr>
          <w:rFonts w:hint="eastAsia"/>
        </w:rPr>
        <w:br w:type="textWrapping"/>
      </w:r>
      <w:r>
        <w:rPr>
          <w:rFonts w:hint="eastAsia"/>
        </w:rPr>
        <w:t>《污染源自动监控管理办法》（总局令第28号）</w:t>
      </w:r>
      <w:r>
        <w:rPr>
          <w:rFonts w:hint="eastAsia"/>
        </w:rPr>
        <w:br w:type="textWrapping"/>
      </w:r>
      <w:r>
        <w:rPr>
          <w:rFonts w:hint="eastAsia"/>
        </w:rPr>
        <w:t>《固定污染源烟气排放连续监测技术规范》（HJ/T 75-2007）</w:t>
      </w:r>
      <w:r>
        <w:rPr>
          <w:rFonts w:hint="eastAsia"/>
        </w:rPr>
        <w:br w:type="textWrapping"/>
      </w:r>
      <w:r>
        <w:rPr>
          <w:rFonts w:hint="eastAsia"/>
        </w:rPr>
        <w:t>《固定污染源监测质量保证与质量控制技术规范》（HJ/T 373-2007）</w:t>
      </w:r>
      <w:r>
        <w:rPr>
          <w:rFonts w:hint="eastAsia"/>
        </w:rPr>
        <w:br w:type="textWrapping"/>
      </w:r>
      <w:r>
        <w:rPr>
          <w:rFonts w:hint="eastAsia"/>
        </w:rPr>
        <w:t>《固定源废气监测技术规范》（HJ/T 397-2007）</w:t>
      </w:r>
      <w:r>
        <w:rPr>
          <w:rFonts w:hint="eastAsia"/>
        </w:rPr>
        <w:br w:type="textWrapping"/>
      </w:r>
      <w:r>
        <w:rPr>
          <w:rFonts w:hint="eastAsia"/>
        </w:rPr>
        <w:t>《大气污染物无组织排放监测技术导则》（HJ/T 55-2000）</w:t>
      </w:r>
      <w:r>
        <w:rPr>
          <w:rFonts w:hint="eastAsia"/>
        </w:rPr>
        <w:br w:type="textWrapping"/>
      </w:r>
      <w:r>
        <w:rPr>
          <w:rFonts w:hint="eastAsia"/>
        </w:rPr>
        <w:t>《环境空气质量自动监测技术规范》（HJ/T 193-2005）</w:t>
      </w:r>
      <w:r>
        <w:rPr>
          <w:rFonts w:hint="eastAsia"/>
        </w:rPr>
        <w:br w:type="textWrapping"/>
      </w:r>
      <w:r>
        <w:rPr>
          <w:rFonts w:hint="eastAsia"/>
        </w:rPr>
        <w:t>《环境空气质量手工监测技术规范》（HJ/T 194-2005）</w:t>
      </w:r>
      <w:r>
        <w:rPr>
          <w:rFonts w:hint="eastAsia"/>
        </w:rPr>
        <w:br w:type="textWrapping"/>
      </w:r>
      <w:r>
        <w:rPr>
          <w:rFonts w:hint="eastAsia"/>
        </w:rPr>
        <w:t>《环境监测质量管理技术导则》（HJ 630-2011）</w:t>
      </w:r>
      <w:r>
        <w:rPr>
          <w:rFonts w:hint="eastAsia"/>
        </w:rPr>
        <w:br w:type="textWrapping"/>
      </w:r>
      <w:r>
        <w:rPr>
          <w:rFonts w:hint="eastAsia"/>
        </w:rPr>
        <w:t>《突发环境事件应急监测技术规范》（HJ 589-2010）</w:t>
      </w:r>
      <w:r>
        <w:rPr>
          <w:rFonts w:hint="eastAsia"/>
        </w:rPr>
        <w:br w:type="textWrapping"/>
      </w:r>
      <w:r>
        <w:rPr>
          <w:rFonts w:hint="eastAsia"/>
        </w:rPr>
        <w:t>《污染源在线自动监控（监测）系统数据传输标准》（HJ/T 212-2005）</w:t>
      </w:r>
      <w:r>
        <w:rPr>
          <w:rFonts w:hint="eastAsia"/>
        </w:rPr>
        <w:br w:type="textWrapping"/>
      </w:r>
      <w:r>
        <w:rPr>
          <w:rFonts w:hint="eastAsia"/>
        </w:rPr>
        <w:t>《污染源在线自动监控监测数据采集传输仪技术要求》（HJ 477-2009）</w:t>
      </w:r>
      <w:r>
        <w:rPr>
          <w:rFonts w:hint="eastAsia"/>
        </w:rPr>
        <w:br w:type="textWrapping"/>
      </w:r>
      <w:r>
        <w:rPr>
          <w:rFonts w:hint="eastAsia"/>
        </w:rPr>
        <w:t>《固定污染源排放烟气连续监测系统技术要求及检测方法》（HJ/T 76-2007）</w:t>
      </w:r>
      <w:r>
        <w:rPr>
          <w:rFonts w:hint="eastAsia"/>
        </w:rPr>
        <w:br w:type="textWrapping"/>
      </w:r>
      <w:r>
        <w:rPr>
          <w:rFonts w:hint="eastAsia"/>
        </w:rPr>
        <w:t>《环境信息术语》（HJ/T 416-2007）</w:t>
      </w:r>
      <w:r>
        <w:rPr>
          <w:rFonts w:hint="eastAsia"/>
        </w:rPr>
        <w:br w:type="textWrapping"/>
      </w:r>
      <w:r>
        <w:rPr>
          <w:rFonts w:hint="eastAsia"/>
        </w:rPr>
        <w:t>《环境信息分类与代码》（HJ/T 417-2007）</w:t>
      </w:r>
      <w:r>
        <w:rPr>
          <w:rFonts w:hint="eastAsia"/>
        </w:rPr>
        <w:br w:type="textWrapping"/>
      </w:r>
      <w:r>
        <w:rPr>
          <w:rFonts w:hint="eastAsia"/>
        </w:rPr>
        <w:t>《环境数据库设计与运行管理规范》（HJ/T 419-2007）</w:t>
      </w:r>
    </w:p>
    <w:p>
      <w:pPr>
        <w:rPr>
          <w:rFonts w:hint="eastAsia" w:asciiTheme="majorEastAsia" w:hAnsiTheme="majorEastAsia" w:eastAsiaTheme="majorEastAsia" w:cstheme="majorEastAsia"/>
          <w:b/>
          <w:bCs/>
          <w:sz w:val="44"/>
          <w:szCs w:val="44"/>
          <w:lang w:eastAsia="zh-CN"/>
        </w:rPr>
      </w:pPr>
      <w:r>
        <w:rPr>
          <w:rFonts w:hint="eastAsia" w:asciiTheme="majorEastAsia" w:hAnsiTheme="majorEastAsia" w:eastAsiaTheme="majorEastAsia" w:cstheme="majorEastAsia"/>
          <w:b/>
          <w:bCs/>
          <w:sz w:val="44"/>
          <w:szCs w:val="44"/>
          <w:lang w:eastAsia="zh-CN"/>
        </w:rPr>
        <w:t>二．概述</w:t>
      </w:r>
    </w:p>
    <w:p>
      <w:pPr>
        <w:rPr>
          <w:rFonts w:hint="eastAsia"/>
        </w:rPr>
      </w:pP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近几年，随着我国工业化的快速发展，“中国制造”走向了全球，但是同时也对周边环境和居民造成了严重影响，危险气体泄露、废气偷排等造成的重大污染事件也越来越多。如何在保持经济高速发展的同时，有效的防止工业区对环境和居民的危害已成为各级政府部门日益重视的工作内容。</w:t>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根据工业区分布范围广以及边界范围较大的特点，对整个的工业区的危险气体对周边环境及居民的污染情况无法实时掌握导致监督不到位、安全隐患无法及时发现等特点，利用高科技智能化“多气体边界监控系统”的远距离、大范围、24小时不间断监控的特点，即可实现对整个工业区的气体安全监控。</w:t>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本系统是特别针对工业区的边界危害气体监控需求而开发，可实现工业区多气体边界监控、保护、管理的需要，采用先进的气体检测传感器和无线传输技术，以及先进的计算机网络技术，整合了气体传感技术、无线传输技术、计算机处理技术等，通过该系统可以使用户充分利用现有传输资源，是一套构架简单而方便的无线监控系统。</w:t>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多气体边界监控</w:t>
      </w:r>
      <w:r>
        <w:rPr>
          <w:rFonts w:hint="eastAsia" w:asciiTheme="minorEastAsia" w:hAnsiTheme="minorEastAsia" w:eastAsiaTheme="minorEastAsia" w:cstheme="minorEastAsia"/>
          <w:sz w:val="24"/>
          <w:szCs w:val="24"/>
          <w:lang w:eastAsia="zh-CN"/>
        </w:rPr>
        <w:t>仪</w:t>
      </w:r>
      <w:r>
        <w:rPr>
          <w:rFonts w:hint="eastAsia" w:asciiTheme="minorEastAsia" w:hAnsiTheme="minorEastAsia" w:eastAsiaTheme="minorEastAsia" w:cstheme="minorEastAsia"/>
          <w:sz w:val="24"/>
          <w:szCs w:val="24"/>
        </w:rPr>
        <w:t>采用催化燃烧（LEL）、电化学（EC）、光离子化（PID）等气体传感技术对监控点的可燃气体、有</w:t>
      </w:r>
      <w:r>
        <w:rPr>
          <w:rFonts w:hint="eastAsia" w:asciiTheme="minorEastAsia" w:hAnsiTheme="minorEastAsia" w:eastAsiaTheme="minorEastAsia" w:cstheme="minorEastAsia"/>
          <w:sz w:val="24"/>
          <w:szCs w:val="24"/>
          <w:lang w:eastAsia="zh-CN"/>
        </w:rPr>
        <w:t>危险</w:t>
      </w:r>
      <w:r>
        <w:rPr>
          <w:rFonts w:hint="eastAsia" w:asciiTheme="minorEastAsia" w:hAnsiTheme="minorEastAsia" w:eastAsiaTheme="minorEastAsia" w:cstheme="minorEastAsia"/>
          <w:sz w:val="24"/>
          <w:szCs w:val="24"/>
        </w:rPr>
        <w:t>气体、有机挥发物气体等有害气体进行检测；通过温湿度传感器检测监控点的温湿度；对监控点的危害因素进行全方位的监控。同时，数据采集及输出系统提供了多组模拟信号、数字信号和开关量输入输出接口，实现监控数据的采集、处理、传输、控制外部设备等功能，并通过无线传输的方式，远程掌握实时的监控数据。</w:t>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本系统</w:t>
      </w:r>
      <w:r>
        <w:rPr>
          <w:rFonts w:hint="eastAsia" w:asciiTheme="minorEastAsia" w:hAnsiTheme="minorEastAsia" w:eastAsiaTheme="minorEastAsia" w:cstheme="minorEastAsia"/>
          <w:sz w:val="24"/>
          <w:szCs w:val="24"/>
        </w:rPr>
        <w:t>是功能齐全，整体水平最高的多气体在线监控系统。主要由以下几个子系统组成：</w:t>
      </w:r>
    </w:p>
    <w:p>
      <w:pPr>
        <w:pStyle w:val="24"/>
        <w:keepNext w:val="0"/>
        <w:keepLines w:val="0"/>
        <w:pageBreakBefore w:val="0"/>
        <w:widowControl/>
        <w:numPr>
          <w:ilvl w:val="0"/>
          <w:numId w:val="0"/>
        </w:numPr>
        <w:kinsoku/>
        <w:wordWrap/>
        <w:overflowPunct/>
        <w:topLinePunct w:val="0"/>
        <w:bidi w:val="0"/>
        <w:snapToGrid/>
        <w:spacing w:line="360" w:lineRule="auto"/>
        <w:ind w:left="540" w:leftChars="0" w:right="0" w:rightChars="0"/>
        <w:jc w:val="left"/>
        <w:textAlignment w:val="auto"/>
        <w:rPr>
          <w:rFonts w:hint="eastAsia" w:asciiTheme="majorEastAsia" w:hAnsiTheme="majorEastAsia" w:eastAsiaTheme="majorEastAsia" w:cstheme="majorEastAsia"/>
          <w:sz w:val="24"/>
          <w:szCs w:val="24"/>
          <w:lang w:eastAsia="zh-CN"/>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 xml:space="preserve">有害气体监测子系统，包括气体除尘、除水预处理及多气体检测仪； </w:t>
      </w:r>
    </w:p>
    <w:p>
      <w:pPr>
        <w:pStyle w:val="24"/>
        <w:keepNext w:val="0"/>
        <w:keepLines w:val="0"/>
        <w:pageBreakBefore w:val="0"/>
        <w:widowControl/>
        <w:numPr>
          <w:ilvl w:val="0"/>
          <w:numId w:val="0"/>
        </w:numPr>
        <w:kinsoku/>
        <w:wordWrap/>
        <w:overflowPunct/>
        <w:topLinePunct w:val="0"/>
        <w:bidi w:val="0"/>
        <w:snapToGrid/>
        <w:spacing w:line="360" w:lineRule="auto"/>
        <w:ind w:left="540" w:leftChars="0" w:right="0" w:rightChars="0"/>
        <w:jc w:val="left"/>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 xml:space="preserve">温湿度监测子系统； </w:t>
      </w:r>
      <w:bookmarkStart w:id="20" w:name="_Toc14001"/>
      <w:bookmarkStart w:id="21" w:name="_Toc22607"/>
      <w:bookmarkStart w:id="22" w:name="_Toc9587"/>
      <w:bookmarkStart w:id="23" w:name="_Toc8490"/>
      <w:bookmarkStart w:id="24" w:name="_Toc456353499"/>
      <w:bookmarkStart w:id="25" w:name="_Toc3539"/>
      <w:bookmarkStart w:id="26" w:name="_Toc15458"/>
      <w:bookmarkStart w:id="27" w:name="_Toc21400"/>
      <w:bookmarkStart w:id="28" w:name="_Toc20646"/>
      <w:bookmarkStart w:id="29" w:name="_Toc29482"/>
      <w:bookmarkStart w:id="30" w:name="_Toc449532150"/>
      <w:bookmarkStart w:id="31" w:name="_Toc9739"/>
      <w:bookmarkStart w:id="32" w:name="_Toc449526610"/>
      <w:bookmarkStart w:id="33" w:name="_Toc14326"/>
      <w:bookmarkStart w:id="34" w:name="_Toc8876"/>
      <w:bookmarkStart w:id="35" w:name="_Toc7120"/>
      <w:bookmarkStart w:id="36" w:name="_Toc7208"/>
      <w:bookmarkStart w:id="37" w:name="_Toc8709"/>
      <w:bookmarkStart w:id="38" w:name="_Toc429"/>
      <w:bookmarkStart w:id="39" w:name="_Toc7527"/>
      <w:bookmarkStart w:id="40" w:name="_Toc21322"/>
    </w:p>
    <w:p>
      <w:pPr>
        <w:pStyle w:val="24"/>
        <w:keepNext w:val="0"/>
        <w:keepLines w:val="0"/>
        <w:pageBreakBefore w:val="0"/>
        <w:widowControl/>
        <w:numPr>
          <w:ilvl w:val="0"/>
          <w:numId w:val="0"/>
        </w:numPr>
        <w:kinsoku/>
        <w:wordWrap/>
        <w:overflowPunct/>
        <w:topLinePunct w:val="0"/>
        <w:bidi w:val="0"/>
        <w:snapToGrid/>
        <w:spacing w:line="360" w:lineRule="auto"/>
        <w:ind w:left="540" w:leftChars="0" w:right="0" w:rightChars="0"/>
        <w:jc w:val="left"/>
        <w:textAlignment w:val="auto"/>
        <w:rPr>
          <w:rFonts w:hint="eastAsia" w:asciiTheme="minorEastAsia" w:hAnsiTheme="minorEastAsia" w:eastAsiaTheme="minorEastAsia" w:cstheme="minorEastAsia"/>
          <w:sz w:val="24"/>
          <w:szCs w:val="24"/>
          <w:lang w:val="en-US" w:eastAsia="zh-CN" w:bidi="ar-SA"/>
        </w:rPr>
      </w:pPr>
      <w:r>
        <w:rPr>
          <w:rFonts w:hint="eastAsia" w:asciiTheme="minorEastAsia" w:hAnsiTheme="minorEastAsia" w:eastAsiaTheme="minorEastAsia" w:cstheme="minorEastAsia"/>
          <w:sz w:val="24"/>
          <w:szCs w:val="24"/>
          <w:lang w:val="en-US" w:eastAsia="zh-CN" w:bidi="ar-SA"/>
        </w:rPr>
        <w:t>多气体边界监控系统主要特点</w:t>
      </w:r>
      <w:bookmarkEnd w:id="20"/>
      <w:bookmarkEnd w:id="21"/>
      <w:bookmarkEnd w:id="22"/>
      <w:bookmarkEnd w:id="23"/>
      <w:bookmarkEnd w:id="24"/>
      <w:bookmarkEnd w:id="25"/>
      <w:r>
        <w:rPr>
          <w:rFonts w:hint="eastAsia" w:asciiTheme="minorEastAsia" w:hAnsiTheme="minorEastAsia" w:eastAsiaTheme="minorEastAsia" w:cstheme="minorEastAsia"/>
          <w:sz w:val="24"/>
          <w:szCs w:val="24"/>
          <w:lang w:val="en-US" w:eastAsia="zh-CN" w:bidi="ar-SA"/>
        </w:rPr>
        <w:t>：</w:t>
      </w:r>
    </w:p>
    <w:p>
      <w:pPr>
        <w:pStyle w:val="24"/>
        <w:keepNext w:val="0"/>
        <w:keepLines w:val="0"/>
        <w:pageBreakBefore w:val="0"/>
        <w:widowControl/>
        <w:numPr>
          <w:ilvl w:val="0"/>
          <w:numId w:val="0"/>
        </w:numPr>
        <w:kinsoku/>
        <w:wordWrap/>
        <w:overflowPunct/>
        <w:topLinePunct w:val="0"/>
        <w:bidi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可同时检测多种气体，完全满足各环境所要求的危险物质的监测要求，让有</w:t>
      </w:r>
      <w:r>
        <w:rPr>
          <w:rFonts w:hint="eastAsia" w:asciiTheme="minorEastAsia" w:hAnsiTheme="minorEastAsia" w:eastAsiaTheme="minorEastAsia" w:cstheme="minorEastAsia"/>
          <w:sz w:val="24"/>
          <w:szCs w:val="24"/>
          <w:lang w:eastAsia="zh-CN"/>
        </w:rPr>
        <w:t>危险</w:t>
      </w:r>
      <w:r>
        <w:rPr>
          <w:rFonts w:hint="eastAsia" w:asciiTheme="minorEastAsia" w:hAnsiTheme="minorEastAsia" w:eastAsiaTheme="minorEastAsia" w:cstheme="minorEastAsia"/>
          <w:sz w:val="24"/>
          <w:szCs w:val="24"/>
        </w:rPr>
        <w:t>有害气体无处可藏。</w:t>
      </w:r>
    </w:p>
    <w:p>
      <w:pPr>
        <w:pStyle w:val="24"/>
        <w:keepNext w:val="0"/>
        <w:keepLines w:val="0"/>
        <w:pageBreakBefore w:val="0"/>
        <w:widowControl/>
        <w:numPr>
          <w:ilvl w:val="0"/>
          <w:numId w:val="0"/>
        </w:numPr>
        <w:kinsoku/>
        <w:wordWrap/>
        <w:overflowPunct/>
        <w:topLinePunct w:val="0"/>
        <w:bidi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可根据化工园区不同企业的监控有害气体的种类不同，对“ZWIN</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Site</w:t>
      </w:r>
      <w:r>
        <w:rPr>
          <w:rFonts w:hint="eastAsia" w:asciiTheme="minorEastAsia" w:hAnsiTheme="minorEastAsia" w:eastAsiaTheme="minorEastAsia" w:cstheme="minorEastAsia"/>
          <w:sz w:val="24"/>
          <w:szCs w:val="24"/>
          <w:lang w:val="en-US" w:eastAsia="zh-CN"/>
        </w:rPr>
        <w:t>06</w:t>
      </w:r>
      <w:r>
        <w:rPr>
          <w:rFonts w:hint="eastAsia" w:asciiTheme="minorEastAsia" w:hAnsiTheme="minorEastAsia" w:eastAsiaTheme="minorEastAsia" w:cstheme="minorEastAsia"/>
          <w:sz w:val="24"/>
          <w:szCs w:val="24"/>
        </w:rPr>
        <w:t>监测子站”灵活配备不同传感器种类，传感器都选用国外一线品牌传感器。</w:t>
      </w:r>
    </w:p>
    <w:p>
      <w:pPr>
        <w:pStyle w:val="24"/>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超过30种智能传感器，包括PID传感器、电化学</w:t>
      </w:r>
      <w:r>
        <w:rPr>
          <w:rFonts w:hint="eastAsia" w:asciiTheme="minorEastAsia" w:hAnsiTheme="minorEastAsia" w:eastAsiaTheme="minorEastAsia" w:cstheme="minorEastAsia"/>
          <w:sz w:val="24"/>
          <w:szCs w:val="24"/>
          <w:lang w:eastAsia="zh-CN"/>
        </w:rPr>
        <w:t>危险</w:t>
      </w:r>
      <w:r>
        <w:rPr>
          <w:rFonts w:hint="eastAsia" w:asciiTheme="minorEastAsia" w:hAnsiTheme="minorEastAsia" w:eastAsiaTheme="minorEastAsia" w:cstheme="minorEastAsia"/>
          <w:sz w:val="24"/>
          <w:szCs w:val="24"/>
        </w:rPr>
        <w:t>气和氧气传感器等。</w:t>
      </w:r>
    </w:p>
    <w:p>
      <w:pPr>
        <w:pStyle w:val="24"/>
        <w:keepNext w:val="0"/>
        <w:keepLines w:val="0"/>
        <w:pageBreakBefore w:val="0"/>
        <w:widowControl/>
        <w:numPr>
          <w:ilvl w:val="0"/>
          <w:numId w:val="0"/>
        </w:numPr>
        <w:kinsoku/>
        <w:wordWrap/>
        <w:overflowPunct/>
        <w:topLinePunct w:val="0"/>
        <w:bidi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sz w:val="24"/>
          <w:szCs w:val="24"/>
        </w:rPr>
        <w:t>通讯接口：采用无线传输模块或GPRS模块，信号稳定。主机预留RS232对外通讯接口，可连接以太网、光纤、3G网等多种通讯形式</w:t>
      </w:r>
    </w:p>
    <w:p>
      <w:pPr>
        <w:pStyle w:val="24"/>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主机可检测环境温/湿度</w:t>
      </w:r>
    </w:p>
    <w:p>
      <w:pPr>
        <w:pStyle w:val="24"/>
        <w:keepNext w:val="0"/>
        <w:keepLines w:val="0"/>
        <w:pageBreakBefore w:val="0"/>
        <w:widowControl/>
        <w:numPr>
          <w:ilvl w:val="0"/>
          <w:numId w:val="0"/>
        </w:numPr>
        <w:kinsoku/>
        <w:wordWrap/>
        <w:overflowPunct/>
        <w:topLinePunct w:val="0"/>
        <w:autoSpaceDE w:val="0"/>
        <w:autoSpaceDN w:val="0"/>
        <w:bidi w:val="0"/>
        <w:adjustRightInd w:val="0"/>
        <w:snapToGrid/>
        <w:spacing w:line="360" w:lineRule="auto"/>
        <w:ind w:left="0" w:leftChars="0" w:right="0" w:rightChars="0" w:firstLine="480" w:firstLineChars="200"/>
        <w:jc w:val="left"/>
        <w:textAlignment w:val="auto"/>
        <w:outlineLvl w:val="9"/>
        <w:rPr>
          <w:rFonts w:hint="eastAsia" w:asciiTheme="majorEastAsia" w:hAnsiTheme="majorEastAsia" w:eastAsiaTheme="majorEastAsia" w:cstheme="majorEastAsia"/>
          <w:sz w:val="36"/>
          <w:szCs w:val="36"/>
          <w:lang w:eastAsia="zh-CN"/>
        </w:rPr>
      </w:pP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运行状态稳定：主备电自动切换，在断电状态下，备电启用，保证系统正常运行。</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Start w:id="41" w:name="_Toc17175"/>
      <w:bookmarkStart w:id="42" w:name="_Toc7038"/>
      <w:bookmarkStart w:id="43" w:name="_Toc14271"/>
      <w:bookmarkStart w:id="44" w:name="_Toc31800"/>
      <w:bookmarkStart w:id="45" w:name="_Toc7045"/>
      <w:bookmarkStart w:id="46" w:name="_Toc13707"/>
      <w:bookmarkStart w:id="47" w:name="_Toc11921"/>
      <w:bookmarkStart w:id="48" w:name="_Toc26715"/>
      <w:bookmarkStart w:id="49" w:name="_Toc8614"/>
      <w:bookmarkStart w:id="50" w:name="_Toc1339"/>
      <w:bookmarkStart w:id="51" w:name="_Toc449532155"/>
      <w:bookmarkStart w:id="52" w:name="_Toc9404"/>
      <w:bookmarkStart w:id="53" w:name="_Toc449526615"/>
      <w:bookmarkStart w:id="54" w:name="_Toc9869"/>
      <w:bookmarkStart w:id="55" w:name="_Toc15524"/>
    </w:p>
    <w:p>
      <w:pPr>
        <w:rPr>
          <w:rFonts w:hint="eastAsia" w:asciiTheme="majorEastAsia" w:hAnsiTheme="majorEastAsia" w:eastAsiaTheme="majorEastAsia" w:cstheme="majorEastAsia"/>
          <w:b/>
          <w:bCs/>
          <w:sz w:val="44"/>
          <w:szCs w:val="44"/>
          <w:lang w:eastAsia="zh-CN"/>
        </w:rPr>
      </w:pPr>
      <w:r>
        <w:rPr>
          <w:rFonts w:hint="eastAsia" w:asciiTheme="majorEastAsia" w:hAnsiTheme="majorEastAsia" w:eastAsiaTheme="majorEastAsia" w:cstheme="majorEastAsia"/>
          <w:b/>
          <w:bCs/>
          <w:sz w:val="44"/>
          <w:szCs w:val="44"/>
          <w:lang w:eastAsia="zh-CN"/>
        </w:rPr>
        <w:t>三．VOC在线监测管理系统建设</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pPr>
        <w:pStyle w:val="3"/>
        <w:pageBreakBefore w:val="0"/>
        <w:widowControl/>
        <w:numPr>
          <w:ilvl w:val="0"/>
          <w:numId w:val="2"/>
        </w:numPr>
        <w:kinsoku/>
        <w:wordWrap/>
        <w:overflowPunct/>
        <w:topLinePunct w:val="0"/>
        <w:autoSpaceDE/>
        <w:autoSpaceDN/>
        <w:bidi w:val="0"/>
        <w:adjustRightInd/>
        <w:snapToGrid/>
        <w:spacing w:before="0" w:after="0" w:line="360" w:lineRule="auto"/>
        <w:ind w:left="720" w:right="0" w:rightChars="0"/>
        <w:jc w:val="left"/>
        <w:textAlignment w:val="auto"/>
        <w:rPr>
          <w:rFonts w:hint="eastAsia"/>
        </w:rPr>
      </w:pPr>
      <w:bookmarkStart w:id="56" w:name="_Toc13710"/>
      <w:bookmarkStart w:id="57" w:name="_Toc449526616"/>
      <w:bookmarkStart w:id="58" w:name="_Toc16260"/>
      <w:bookmarkStart w:id="59" w:name="_Toc7533"/>
      <w:bookmarkStart w:id="60" w:name="_Toc6721"/>
      <w:bookmarkStart w:id="61" w:name="_Toc31166"/>
      <w:bookmarkStart w:id="62" w:name="_Toc449532156"/>
      <w:bookmarkStart w:id="63" w:name="_Toc17320"/>
      <w:bookmarkStart w:id="64" w:name="_Toc24009"/>
      <w:bookmarkStart w:id="65" w:name="_Toc31694"/>
      <w:bookmarkStart w:id="66" w:name="_Toc27764"/>
      <w:bookmarkStart w:id="67" w:name="_Toc9136"/>
      <w:bookmarkStart w:id="68" w:name="_Toc2976"/>
      <w:bookmarkStart w:id="69" w:name="_Toc7556"/>
      <w:bookmarkStart w:id="70" w:name="_Toc20251"/>
      <w:bookmarkStart w:id="71" w:name="_Toc4696"/>
      <w:bookmarkStart w:id="72" w:name="_Toc20862"/>
      <w:bookmarkStart w:id="73" w:name="_Toc10615"/>
      <w:r>
        <w:rPr>
          <w:rFonts w:hint="eastAsia"/>
        </w:rPr>
        <w:t>系统概况</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根据调研大部分企业具备简单治理技术，即将生产车间内生产工艺所产生的VOCs污染物通过管道集气罩收集后通过活性炭吸附装置处理以后进行排放，但园区内存在着有组织排放超标和无组织排放的问题，为督促企业改进生产工艺和治理装置，减少无组织排放，建议园区部署网格化区域监控系统。</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系统部署可提高各工业工园区污染源准确定位能力，同时快速直观的分析出污染源周边的相关信息，通过整合各类地理信息资源和环境保护业务资源，建立统一的环境信息资源数据库，将空间数据与动态监测数据、动态监管数据、政策法规数据等业务数据进行无缝衔接。为管理者提供直观、高效、便捷的管理手段，提高环保业务管理能力，综合管理与分析的决策能力。同时根据业务应用的不同，对数据进行横向的层次划分，通过应用人员层次的不同，对数据进行纵向的层次划分，明晰信息的脉络，方便数据的管理。</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最方便和最常见的方法是根据沸点来界定哪些物质属于VOC，而最普遍的共识认为VOC是指那些沸点等于或低于250℃的化学物质。所以沸点超过250℃的物质不归入VOC的范畴，往往被称为</w:t>
      </w:r>
      <w:r>
        <w:rPr>
          <w:rFonts w:hint="eastAsia"/>
        </w:rPr>
        <w:fldChar w:fldCharType="begin"/>
      </w:r>
      <w:r>
        <w:rPr>
          <w:rFonts w:hint="eastAsia"/>
        </w:rPr>
        <w:instrText xml:space="preserve"> HYPERLINK "http://www.baike.com/wiki/%E5%A2%9E%E5%A1%91%E5%89%82" </w:instrText>
      </w:r>
      <w:r>
        <w:rPr>
          <w:rFonts w:hint="eastAsia"/>
        </w:rPr>
        <w:fldChar w:fldCharType="separate"/>
      </w:r>
      <w:r>
        <w:rPr>
          <w:rFonts w:hint="eastAsia"/>
        </w:rPr>
        <w:t>增塑剂</w:t>
      </w:r>
      <w:r>
        <w:rPr>
          <w:rFonts w:hint="eastAsia"/>
        </w:rPr>
        <w:fldChar w:fldCharType="end"/>
      </w:r>
      <w:r>
        <w:rPr>
          <w:rFonts w:hint="eastAsia"/>
        </w:rPr>
        <w:t>（塑化剂）。</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在室外，VOC主要来自燃料燃烧和交通运输；而在室内则主要来自</w:t>
      </w:r>
      <w:r>
        <w:rPr>
          <w:rFonts w:hint="eastAsia"/>
          <w:lang w:eastAsia="zh-CN"/>
        </w:rPr>
        <w:t>于</w:t>
      </w:r>
      <w:r>
        <w:rPr>
          <w:rFonts w:hint="eastAsia"/>
        </w:rPr>
        <w:t>燃煤和天然气等燃烧产物、吸烟、采暖和烹调等的烟雾，建筑和装饰材料，家具，家用电器，清洁剂和人体本身的排放等。</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室内VOC的来源包括以下方面：</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1.有机溶液，如油漆、含水涂料、粘合剂、化妆品、洗涤剂、捻缝胶等；</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 xml:space="preserve">2.建筑材料，如人造板、泡沫隔热材料、塑料板材等；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 xml:space="preserve">3.室内装饰材料，如壁纸、其他装饰品等；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 xml:space="preserve">4.纤维材料，如地毯、挂毯和化纤窗帘；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 xml:space="preserve">5.办公用品，如油墨、复印机、打印机等；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 xml:space="preserve">6.设计和使用不当的通风系统等；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 xml:space="preserve">7.家用燃料和烟叶的不完全燃烧； </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根据污染物来源建立工业园区的网格化监控系统，区域网格化监控系统采用单元网格管理法的方式，按照“网定格、格定责、责定人”的理念，建立“横向到边、纵向到底”的区域网格化监控平台，应用、整合多项智慧环保技术，在全面掌握、分析污染源排放、气象因素的基础之上，采用基于高斯算法模型进行开发。实时统计各厂区、监测点的监测设备数据，并根据各监测点的排放情况及其气象条件，来分析与推测区域内整体的排放情况。实现对VOCs排放区域整体监控，污染物扩散趋势推算，排放源解析等功能，同时结合物联网、智能采集系统、地理信息系统、动态图表系统等先进技术，整合、共享、开发，建立全面化、精细化、信息化、智能化的区域在线监测平台，实现对控制污染源无组织排放，减少大气污染等综合管理，为制定节能减排方案提供可靠的数据信息和科学的辅助管理决策。</w:t>
      </w:r>
    </w:p>
    <w:p>
      <w:pPr>
        <w:ind w:left="0" w:leftChars="0" w:firstLine="0" w:firstLineChars="0"/>
        <w:jc w:val="center"/>
        <w:rPr>
          <w:rFonts w:hint="eastAsia"/>
        </w:rPr>
      </w:pPr>
      <w:r>
        <w:rPr>
          <w:rFonts w:hint="eastAsia" w:ascii="微软雅黑" w:hAnsi="微软雅黑" w:eastAsia="微软雅黑" w:cs="微软雅黑"/>
          <w:color w:val="484441"/>
          <w:kern w:val="0"/>
          <w:sz w:val="18"/>
          <w:szCs w:val="18"/>
          <w:shd w:val="clear" w:color="auto" w:fill="FFFFFF"/>
          <w:lang w:bidi="ar"/>
        </w:rPr>
        <w:fldChar w:fldCharType="begin"/>
      </w:r>
      <w:r>
        <w:rPr>
          <w:rFonts w:hint="eastAsia" w:ascii="微软雅黑" w:hAnsi="微软雅黑" w:eastAsia="微软雅黑" w:cs="微软雅黑"/>
          <w:color w:val="484441"/>
          <w:kern w:val="0"/>
          <w:sz w:val="18"/>
          <w:szCs w:val="18"/>
          <w:shd w:val="clear" w:color="auto" w:fill="FFFFFF"/>
          <w:lang w:bidi="ar"/>
        </w:rPr>
        <w:instrText xml:space="preserve">INCLUDEPICTURE \d "http://www.viready.com/webimages/20159818832530.png" \* MERGEFORMATINET </w:instrText>
      </w:r>
      <w:r>
        <w:rPr>
          <w:rFonts w:hint="eastAsia" w:ascii="微软雅黑" w:hAnsi="微软雅黑" w:eastAsia="微软雅黑" w:cs="微软雅黑"/>
          <w:color w:val="484441"/>
          <w:kern w:val="0"/>
          <w:sz w:val="18"/>
          <w:szCs w:val="18"/>
          <w:shd w:val="clear" w:color="auto" w:fill="FFFFFF"/>
          <w:lang w:bidi="ar"/>
        </w:rPr>
        <w:fldChar w:fldCharType="separate"/>
      </w:r>
      <w:r>
        <w:rPr>
          <w:rFonts w:hint="eastAsia" w:ascii="微软雅黑" w:hAnsi="微软雅黑" w:eastAsia="微软雅黑" w:cs="微软雅黑"/>
          <w:color w:val="484441"/>
          <w:kern w:val="0"/>
          <w:sz w:val="18"/>
          <w:szCs w:val="18"/>
          <w:shd w:val="clear" w:color="auto" w:fill="FFFFFF"/>
          <w:lang w:bidi="ar"/>
        </w:rPr>
        <w:drawing>
          <wp:inline distT="0" distB="0" distL="114300" distR="114300">
            <wp:extent cx="5949950" cy="3426460"/>
            <wp:effectExtent l="0" t="0" r="12700" b="2540"/>
            <wp:docPr id="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IMG_256"/>
                    <pic:cNvPicPr>
                      <a:picLocks noChangeAspect="1"/>
                    </pic:cNvPicPr>
                  </pic:nvPicPr>
                  <pic:blipFill>
                    <a:blip r:embed="rId9"/>
                    <a:srcRect r="-330"/>
                    <a:stretch>
                      <a:fillRect/>
                    </a:stretch>
                  </pic:blipFill>
                  <pic:spPr>
                    <a:xfrm>
                      <a:off x="0" y="0"/>
                      <a:ext cx="5949950" cy="3426460"/>
                    </a:xfrm>
                    <a:prstGeom prst="rect">
                      <a:avLst/>
                    </a:prstGeom>
                    <a:noFill/>
                    <a:ln w="9525">
                      <a:noFill/>
                    </a:ln>
                    <a:effectLst/>
                  </pic:spPr>
                </pic:pic>
              </a:graphicData>
            </a:graphic>
          </wp:inline>
        </w:drawing>
      </w:r>
      <w:r>
        <w:rPr>
          <w:rFonts w:hint="eastAsia" w:ascii="微软雅黑" w:hAnsi="微软雅黑" w:eastAsia="微软雅黑" w:cs="微软雅黑"/>
          <w:color w:val="484441"/>
          <w:kern w:val="0"/>
          <w:sz w:val="18"/>
          <w:szCs w:val="18"/>
          <w:shd w:val="clear" w:color="auto" w:fill="FFFFFF"/>
          <w:lang w:bidi="ar"/>
        </w:rPr>
        <w:fldChar w:fldCharType="end"/>
      </w:r>
    </w:p>
    <w:p>
      <w:pPr>
        <w:pStyle w:val="3"/>
        <w:pageBreakBefore w:val="0"/>
        <w:widowControl/>
        <w:kinsoku/>
        <w:wordWrap/>
        <w:overflowPunct/>
        <w:topLinePunct w:val="0"/>
        <w:autoSpaceDE/>
        <w:autoSpaceDN/>
        <w:bidi w:val="0"/>
        <w:adjustRightInd/>
        <w:snapToGrid/>
        <w:spacing w:line="360" w:lineRule="auto"/>
        <w:ind w:left="0" w:leftChars="0" w:right="0" w:rightChars="0"/>
        <w:jc w:val="left"/>
        <w:textAlignment w:val="auto"/>
        <w:rPr>
          <w:rFonts w:hint="eastAsia"/>
        </w:rPr>
      </w:pPr>
      <w:bookmarkStart w:id="74" w:name="_Toc11107"/>
      <w:bookmarkStart w:id="75" w:name="_Toc449526617"/>
      <w:bookmarkStart w:id="76" w:name="_Toc10065"/>
      <w:bookmarkStart w:id="77" w:name="_Toc180"/>
      <w:bookmarkStart w:id="78" w:name="_Toc449532157"/>
      <w:bookmarkStart w:id="79" w:name="_Toc28764"/>
      <w:bookmarkStart w:id="80" w:name="_Toc10258"/>
      <w:bookmarkStart w:id="81" w:name="_Toc16161"/>
      <w:bookmarkStart w:id="82" w:name="_Toc15600"/>
      <w:bookmarkStart w:id="83" w:name="_Toc22707"/>
      <w:bookmarkStart w:id="84" w:name="_Toc892"/>
      <w:bookmarkStart w:id="85" w:name="_Toc28964"/>
      <w:bookmarkStart w:id="86" w:name="_Toc26490"/>
      <w:bookmarkStart w:id="87" w:name="_Toc31824"/>
      <w:bookmarkStart w:id="88" w:name="_Toc541"/>
      <w:bookmarkStart w:id="89" w:name="_Toc4112"/>
      <w:bookmarkStart w:id="90" w:name="_Toc28911"/>
      <w:bookmarkStart w:id="91" w:name="_Toc28640"/>
      <w:r>
        <w:rPr>
          <w:rFonts w:hint="eastAsia"/>
        </w:rPr>
        <w:t>2.功能特点</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pPr>
        <w:pStyle w:val="4"/>
        <w:pageBreakBefore w:val="0"/>
        <w:widowControl/>
        <w:kinsoku/>
        <w:wordWrap/>
        <w:overflowPunct/>
        <w:topLinePunct w:val="0"/>
        <w:autoSpaceDE/>
        <w:autoSpaceDN/>
        <w:bidi w:val="0"/>
        <w:adjustRightInd/>
        <w:snapToGrid/>
        <w:spacing w:line="360" w:lineRule="auto"/>
        <w:ind w:left="0" w:leftChars="0" w:right="0" w:rightChars="0" w:firstLine="600"/>
        <w:jc w:val="left"/>
        <w:textAlignment w:val="auto"/>
        <w:rPr>
          <w:rFonts w:hint="eastAsia"/>
        </w:rPr>
      </w:pPr>
      <w:bookmarkStart w:id="92" w:name="_Toc449526618"/>
      <w:bookmarkStart w:id="93" w:name="_Toc24743"/>
      <w:bookmarkStart w:id="94" w:name="_Toc23709"/>
      <w:bookmarkStart w:id="95" w:name="_Toc7146"/>
      <w:bookmarkStart w:id="96" w:name="_Toc21731"/>
      <w:bookmarkStart w:id="97" w:name="_Toc28080"/>
      <w:bookmarkStart w:id="98" w:name="_Toc3512"/>
      <w:bookmarkStart w:id="99" w:name="_Toc25546"/>
      <w:bookmarkStart w:id="100" w:name="_Toc449532158"/>
      <w:bookmarkStart w:id="101" w:name="_Toc15389"/>
      <w:bookmarkStart w:id="102" w:name="_Toc10992"/>
      <w:bookmarkStart w:id="103" w:name="_Toc8398"/>
      <w:bookmarkStart w:id="104" w:name="_Toc32448"/>
      <w:bookmarkStart w:id="105" w:name="_Toc24123"/>
      <w:bookmarkStart w:id="106" w:name="_Toc25295"/>
      <w:r>
        <w:rPr>
          <w:rFonts w:hint="eastAsia"/>
        </w:rPr>
        <w:t>2.1实时数据入库系统</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pPr>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rPr>
          <w:rFonts w:hint="eastAsia"/>
        </w:rPr>
      </w:pPr>
      <w:r>
        <w:rPr>
          <w:rFonts w:hint="eastAsia"/>
        </w:rPr>
        <w:t>实时数据入库系统主要实现园区企业内所有VOCs监测点产生的测量数据实时存到监测平台数据存储中心</w:t>
      </w:r>
      <w:r>
        <w:rPr>
          <w:rFonts w:hint="eastAsia"/>
          <w:lang w:eastAsia="zh-CN"/>
        </w:rPr>
        <w:t>，可以对接不同类型的监测因子。</w:t>
      </w:r>
    </w:p>
    <w:p>
      <w:pPr>
        <w:keepNext w:val="0"/>
        <w:keepLines w:val="0"/>
        <w:widowControl/>
        <w:suppressLineNumbers w:val="0"/>
        <w:ind w:left="0" w:leftChars="0" w:firstLine="0" w:firstLineChars="0"/>
        <w:jc w:val="center"/>
        <w:rPr>
          <w:rFonts w:hint="eastAsi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"C:\\Users\\高一楠\\AppData\\Roaming\\Tencent\\Users\\1540165594\\QQ\\WinTemp\\RichOle\\K%6GGAHLNGB~}WAR[_D%){4.png"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328285" cy="2365375"/>
            <wp:effectExtent l="0" t="0" r="5715" b="15875"/>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0"/>
                    <a:stretch>
                      <a:fillRect/>
                    </a:stretch>
                  </pic:blipFill>
                  <pic:spPr>
                    <a:xfrm>
                      <a:off x="0" y="0"/>
                      <a:ext cx="5328285" cy="236537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pStyle w:val="4"/>
        <w:pageBreakBefore w:val="0"/>
        <w:widowControl/>
        <w:kinsoku/>
        <w:wordWrap/>
        <w:overflowPunct/>
        <w:topLinePunct w:val="0"/>
        <w:autoSpaceDE/>
        <w:autoSpaceDN/>
        <w:bidi w:val="0"/>
        <w:adjustRightInd/>
        <w:snapToGrid/>
        <w:spacing w:line="360" w:lineRule="auto"/>
        <w:ind w:left="0" w:leftChars="0" w:right="0" w:rightChars="0" w:firstLine="600"/>
        <w:jc w:val="left"/>
        <w:textAlignment w:val="auto"/>
        <w:rPr>
          <w:rFonts w:hint="eastAsia"/>
        </w:rPr>
      </w:pPr>
      <w:bookmarkStart w:id="107" w:name="_Toc30362"/>
      <w:bookmarkStart w:id="108" w:name="_Toc2456"/>
      <w:bookmarkStart w:id="109" w:name="_Toc6421"/>
      <w:bookmarkStart w:id="110" w:name="_Toc15629"/>
      <w:bookmarkStart w:id="111" w:name="_Toc15256"/>
      <w:bookmarkStart w:id="112" w:name="_Toc16176"/>
      <w:bookmarkStart w:id="113" w:name="_Toc14057"/>
      <w:bookmarkStart w:id="114" w:name="_Toc12575"/>
      <w:bookmarkStart w:id="115" w:name="_Toc28648"/>
      <w:bookmarkStart w:id="116" w:name="_Toc12123"/>
      <w:bookmarkStart w:id="117" w:name="_Toc30316"/>
      <w:bookmarkStart w:id="118" w:name="_Toc8205"/>
      <w:bookmarkStart w:id="119" w:name="_Toc3584"/>
      <w:bookmarkStart w:id="120" w:name="_Toc449532159"/>
      <w:bookmarkStart w:id="121" w:name="_Toc449526619"/>
      <w:bookmarkStart w:id="122" w:name="_Toc24193"/>
      <w:r>
        <w:rPr>
          <w:rFonts w:hint="eastAsia"/>
        </w:rPr>
        <w:t>2.2数据存储系统</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p>
    <w:p>
      <w:pPr>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rPr>
          <w:rFonts w:hint="eastAsia"/>
        </w:rPr>
      </w:pPr>
      <w:r>
        <w:rPr>
          <w:rFonts w:hint="eastAsia"/>
        </w:rPr>
        <w:t>原始监测数据，将全部存储在监测平台分布式文件系统，用于存储海量的非结构化数据。为了满足和适应数据量、数据特征和查询处理的不同需求，部分存储于关系型数据库中。</w:t>
      </w:r>
    </w:p>
    <w:p>
      <w:pPr>
        <w:pStyle w:val="4"/>
        <w:pageBreakBefore w:val="0"/>
        <w:widowControl/>
        <w:kinsoku/>
        <w:wordWrap/>
        <w:overflowPunct/>
        <w:topLinePunct w:val="0"/>
        <w:autoSpaceDE/>
        <w:autoSpaceDN/>
        <w:bidi w:val="0"/>
        <w:adjustRightInd/>
        <w:snapToGrid/>
        <w:spacing w:line="360" w:lineRule="auto"/>
        <w:ind w:left="0" w:leftChars="0" w:right="0" w:rightChars="0" w:firstLine="600"/>
        <w:jc w:val="left"/>
        <w:textAlignment w:val="auto"/>
        <w:rPr>
          <w:rFonts w:hint="eastAsia"/>
        </w:rPr>
      </w:pPr>
      <w:bookmarkStart w:id="123" w:name="_Toc13259"/>
      <w:bookmarkStart w:id="124" w:name="_Toc449532160"/>
      <w:bookmarkStart w:id="125" w:name="_Toc12782"/>
      <w:bookmarkStart w:id="126" w:name="_Toc449526620"/>
      <w:bookmarkStart w:id="127" w:name="_Toc12316"/>
      <w:bookmarkStart w:id="128" w:name="_Toc25548"/>
      <w:bookmarkStart w:id="129" w:name="_Toc23712"/>
      <w:bookmarkStart w:id="130" w:name="_Toc25601"/>
      <w:bookmarkStart w:id="131" w:name="_Toc8323"/>
      <w:bookmarkStart w:id="132" w:name="_Toc5898"/>
      <w:bookmarkStart w:id="133" w:name="_Toc8443"/>
      <w:bookmarkStart w:id="134" w:name="_Toc30453"/>
      <w:bookmarkStart w:id="135" w:name="_Toc25596"/>
      <w:bookmarkStart w:id="136" w:name="_Toc3390"/>
      <w:bookmarkStart w:id="137" w:name="_Toc22591"/>
      <w:bookmarkStart w:id="138" w:name="_Toc1541"/>
      <w:r>
        <w:rPr>
          <w:rFonts w:hint="eastAsia"/>
        </w:rPr>
        <w:t>2.3实时预警系统</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rPr>
          <w:rFonts w:hint="eastAsia"/>
        </w:rPr>
      </w:pPr>
      <w:r>
        <w:rPr>
          <w:rFonts w:hint="eastAsia"/>
        </w:rPr>
        <w:t>对监测指标设置对应的阀值，超过该值超过一分钟在第一时间通过邮件，App推送，或者短信等形式通知行政执法人员，给管理部门迅速出动，及时阻止破坏环境保护的行为。</w:t>
      </w:r>
    </w:p>
    <w:p>
      <w:pPr>
        <w:pStyle w:val="4"/>
        <w:pageBreakBefore w:val="0"/>
        <w:widowControl/>
        <w:kinsoku/>
        <w:wordWrap/>
        <w:overflowPunct/>
        <w:topLinePunct w:val="0"/>
        <w:autoSpaceDE/>
        <w:autoSpaceDN/>
        <w:bidi w:val="0"/>
        <w:adjustRightInd/>
        <w:snapToGrid/>
        <w:spacing w:line="360" w:lineRule="auto"/>
        <w:ind w:left="0" w:leftChars="0" w:right="0" w:rightChars="0" w:firstLine="600"/>
        <w:jc w:val="left"/>
        <w:textAlignment w:val="auto"/>
        <w:rPr>
          <w:rFonts w:hint="eastAsia"/>
        </w:rPr>
      </w:pPr>
      <w:bookmarkStart w:id="139" w:name="_Toc15114"/>
      <w:bookmarkStart w:id="140" w:name="_Toc449526621"/>
      <w:bookmarkStart w:id="141" w:name="_Toc9051"/>
      <w:bookmarkStart w:id="142" w:name="_Toc31265"/>
      <w:bookmarkStart w:id="143" w:name="_Toc324"/>
      <w:bookmarkStart w:id="144" w:name="_Toc24967"/>
      <w:bookmarkStart w:id="145" w:name="_Toc14479"/>
      <w:bookmarkStart w:id="146" w:name="_Toc449532161"/>
      <w:bookmarkStart w:id="147" w:name="_Toc4914"/>
      <w:bookmarkStart w:id="148" w:name="_Toc14678"/>
      <w:bookmarkStart w:id="149" w:name="_Toc23267"/>
      <w:bookmarkStart w:id="150" w:name="_Toc30834"/>
      <w:bookmarkStart w:id="151" w:name="_Toc29806"/>
      <w:bookmarkStart w:id="152" w:name="_Toc15580"/>
      <w:bookmarkStart w:id="153" w:name="_Toc32724"/>
      <w:bookmarkStart w:id="154" w:name="_Toc30805"/>
      <w:r>
        <w:rPr>
          <w:rFonts w:hint="eastAsia"/>
        </w:rPr>
        <w:t>2.4数据查询分析应用系统</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pPr>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pPr>
      <w:r>
        <w:rPr>
          <w:rFonts w:hint="eastAsia"/>
        </w:rPr>
        <w:t>VOCs数据查询分析应用提供包括实时监控数据分析、总量核算、源解析及源强计算、区域排放监测与预警、污染源扩散预测及分析等，同时可查看历史记录和分析数据等功能。VOCs历史数据查询处理时，由于数据量巨大，需要调度使用云计算技术管理多台服务器节点进行并行处理。</w:t>
      </w:r>
    </w:p>
    <w:p>
      <w:pPr>
        <w:keepNext w:val="0"/>
        <w:keepLines w:val="0"/>
        <w:widowControl/>
        <w:suppressLineNumbers w:val="0"/>
        <w:ind w:left="0" w:leftChars="0" w:firstLine="0" w:firstLineChars="0"/>
        <w:jc w:val="center"/>
        <w:rPr>
          <w:rFonts w:hint="eastAsi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"C:\\Users\\高一楠\\AppData\\Roaming\\Tencent\\Users\\1540165594\\QQ\\WinTemp\\RichOle\\F61847H)]R{W4D21KEEL]MM.png"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013325" cy="2220595"/>
            <wp:effectExtent l="0" t="0" r="15875" b="8255"/>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11"/>
                    <a:stretch>
                      <a:fillRect/>
                    </a:stretch>
                  </pic:blipFill>
                  <pic:spPr>
                    <a:xfrm>
                      <a:off x="0" y="0"/>
                      <a:ext cx="5013325" cy="222059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pStyle w:val="4"/>
        <w:pageBreakBefore w:val="0"/>
        <w:widowControl/>
        <w:kinsoku/>
        <w:wordWrap/>
        <w:overflowPunct/>
        <w:topLinePunct w:val="0"/>
        <w:autoSpaceDE/>
        <w:autoSpaceDN/>
        <w:bidi w:val="0"/>
        <w:adjustRightInd/>
        <w:snapToGrid/>
        <w:spacing w:line="360" w:lineRule="auto"/>
        <w:ind w:left="0" w:leftChars="0" w:right="0" w:rightChars="0" w:firstLine="600"/>
        <w:jc w:val="left"/>
        <w:textAlignment w:val="auto"/>
        <w:rPr>
          <w:rFonts w:hint="eastAsia"/>
        </w:rPr>
      </w:pPr>
      <w:bookmarkStart w:id="155" w:name="_Toc10431"/>
      <w:bookmarkStart w:id="156" w:name="_Toc8253"/>
      <w:bookmarkStart w:id="157" w:name="_Toc21979"/>
      <w:bookmarkStart w:id="158" w:name="_Toc4481"/>
      <w:bookmarkStart w:id="159" w:name="_Toc449532162"/>
      <w:bookmarkStart w:id="160" w:name="_Toc449526622"/>
      <w:bookmarkStart w:id="161" w:name="_Toc13949"/>
      <w:bookmarkStart w:id="162" w:name="_Toc6242"/>
      <w:bookmarkStart w:id="163" w:name="_Toc9321"/>
      <w:bookmarkStart w:id="164" w:name="_Toc2666"/>
      <w:bookmarkStart w:id="165" w:name="_Toc3918"/>
      <w:bookmarkStart w:id="166" w:name="_Toc29982"/>
      <w:bookmarkStart w:id="167" w:name="_Toc26231"/>
      <w:bookmarkStart w:id="168" w:name="_Toc5230"/>
      <w:bookmarkStart w:id="169" w:name="_Toc23175"/>
      <w:bookmarkStart w:id="170" w:name="_Toc23792"/>
      <w:r>
        <w:rPr>
          <w:rFonts w:hint="eastAsia"/>
        </w:rPr>
        <w:t>2.5数据管理系统</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p>
      <w:pPr>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rPr>
          <w:rFonts w:hint="eastAsia"/>
        </w:rPr>
      </w:pPr>
      <w:r>
        <w:rPr>
          <w:rFonts w:hint="eastAsia"/>
        </w:rPr>
        <w:t>在实际使用中，可能用户会对某一时间段或者类型的数据特别关心，就可以通过数据管理系统查询并导出这部分数据以供使用。</w:t>
      </w:r>
    </w:p>
    <w:p>
      <w:pPr>
        <w:ind w:left="0" w:leftChars="0" w:firstLine="0" w:firstLineChars="0"/>
        <w:jc w:val="center"/>
        <w:rPr>
          <w:rFonts w:ascii="宋体" w:hAnsi="宋体" w:eastAsia="宋体" w:cs="宋体"/>
          <w:kern w:val="0"/>
          <w:sz w:val="24"/>
          <w:szCs w:val="24"/>
          <w:lang w:val="en-US" w:eastAsia="zh-CN" w:bidi="ar"/>
        </w:rPr>
      </w:pPr>
      <w:r>
        <w:rPr>
          <w:rFonts w:hint="eastAsia" w:eastAsia="宋体"/>
          <w:lang w:eastAsia="zh-CN"/>
        </w:rPr>
        <w:drawing>
          <wp:inline distT="0" distB="0" distL="114300" distR="114300">
            <wp:extent cx="4949825" cy="2195195"/>
            <wp:effectExtent l="0" t="0" r="3175" b="14605"/>
            <wp:docPr id="11" name="图片 6" descr="QQ图片2016072613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QQ图片20160726133027"/>
                    <pic:cNvPicPr>
                      <a:picLocks noChangeAspect="1"/>
                    </pic:cNvPicPr>
                  </pic:nvPicPr>
                  <pic:blipFill>
                    <a:blip r:embed="rId12"/>
                    <a:stretch>
                      <a:fillRect/>
                    </a:stretch>
                  </pic:blipFill>
                  <pic:spPr>
                    <a:xfrm>
                      <a:off x="0" y="0"/>
                      <a:ext cx="4949825" cy="2195195"/>
                    </a:xfrm>
                    <a:prstGeom prst="rect">
                      <a:avLst/>
                    </a:prstGeom>
                    <a:noFill/>
                    <a:ln w="9525">
                      <a:noFill/>
                    </a:ln>
                  </pic:spPr>
                </pic:pic>
              </a:graphicData>
            </a:graphic>
          </wp:inline>
        </w:drawing>
      </w:r>
    </w:p>
    <w:p>
      <w:pPr>
        <w:keepNext w:val="0"/>
        <w:keepLines w:val="0"/>
        <w:widowControl/>
        <w:suppressLineNumbers w:val="0"/>
        <w:ind w:left="0" w:leftChars="0" w:firstLine="0" w:firstLineChars="0"/>
        <w:jc w:val="center"/>
        <w:rPr>
          <w:rFonts w:hint="eastAsi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"C:\\Users\\高一楠\\AppData\\Roaming\\Tencent\\Users\\1540165594\\QQ\\WinTemp\\RichOle\\OPS{H$R6)YVK5FASRS_EYIN.png"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4968875" cy="2200910"/>
            <wp:effectExtent l="0" t="0" r="3175" b="8890"/>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3"/>
                    <a:stretch>
                      <a:fillRect/>
                    </a:stretch>
                  </pic:blipFill>
                  <pic:spPr>
                    <a:xfrm>
                      <a:off x="0" y="0"/>
                      <a:ext cx="4968875" cy="2200910"/>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pStyle w:val="4"/>
        <w:pageBreakBefore w:val="0"/>
        <w:widowControl/>
        <w:kinsoku/>
        <w:wordWrap/>
        <w:overflowPunct/>
        <w:topLinePunct w:val="0"/>
        <w:autoSpaceDE/>
        <w:autoSpaceDN/>
        <w:bidi w:val="0"/>
        <w:adjustRightInd/>
        <w:snapToGrid/>
        <w:spacing w:line="360" w:lineRule="auto"/>
        <w:ind w:left="0" w:leftChars="0" w:right="0" w:rightChars="0" w:firstLine="600"/>
        <w:jc w:val="left"/>
        <w:textAlignment w:val="auto"/>
        <w:rPr>
          <w:rFonts w:hint="eastAsia"/>
        </w:rPr>
      </w:pPr>
      <w:bookmarkStart w:id="171" w:name="_Toc14891"/>
      <w:bookmarkStart w:id="172" w:name="_Toc6108"/>
      <w:bookmarkStart w:id="173" w:name="_Toc24933"/>
      <w:bookmarkStart w:id="174" w:name="_Toc31220"/>
      <w:bookmarkStart w:id="175" w:name="_Toc449526623"/>
      <w:bookmarkStart w:id="176" w:name="_Toc12807"/>
      <w:bookmarkStart w:id="177" w:name="_Toc6308"/>
      <w:bookmarkStart w:id="178" w:name="_Toc9219"/>
      <w:bookmarkStart w:id="179" w:name="_Toc449532163"/>
      <w:bookmarkStart w:id="180" w:name="_Toc17648"/>
      <w:bookmarkStart w:id="181" w:name="_Toc3768"/>
      <w:bookmarkStart w:id="182" w:name="_Toc2728"/>
      <w:bookmarkStart w:id="183" w:name="_Toc10892"/>
      <w:bookmarkStart w:id="184" w:name="_Toc5342"/>
      <w:bookmarkStart w:id="185" w:name="_Toc24893"/>
      <w:bookmarkStart w:id="186" w:name="_Toc5148"/>
      <w:r>
        <w:rPr>
          <w:rFonts w:hint="eastAsia"/>
        </w:rPr>
        <w:t>2.6数据接口</w:t>
      </w:r>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pPr>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rPr>
          <w:rFonts w:hint="eastAsia"/>
        </w:rPr>
      </w:pPr>
      <w:r>
        <w:rPr>
          <w:rFonts w:hint="eastAsia"/>
        </w:rPr>
        <w:t>系统提供Web Service和Json格式数据接口，供外部系统调用系统数据，方便和第三方平台对接。</w:t>
      </w:r>
    </w:p>
    <w:p>
      <w:pPr>
        <w:pStyle w:val="4"/>
        <w:pageBreakBefore w:val="0"/>
        <w:widowControl/>
        <w:kinsoku/>
        <w:wordWrap/>
        <w:overflowPunct/>
        <w:topLinePunct w:val="0"/>
        <w:autoSpaceDE/>
        <w:autoSpaceDN/>
        <w:bidi w:val="0"/>
        <w:adjustRightInd/>
        <w:snapToGrid/>
        <w:spacing w:line="360" w:lineRule="auto"/>
        <w:ind w:left="0" w:leftChars="0" w:right="0" w:rightChars="0" w:firstLine="600"/>
        <w:jc w:val="left"/>
        <w:textAlignment w:val="auto"/>
        <w:rPr>
          <w:rFonts w:hint="eastAsia"/>
        </w:rPr>
      </w:pPr>
      <w:bookmarkStart w:id="187" w:name="_Toc449526624"/>
      <w:bookmarkStart w:id="188" w:name="_Toc449532164"/>
      <w:bookmarkStart w:id="189" w:name="_Toc32225"/>
      <w:bookmarkStart w:id="190" w:name="_Toc6523"/>
      <w:bookmarkStart w:id="191" w:name="_Toc27656"/>
      <w:bookmarkStart w:id="192" w:name="_Toc30552"/>
      <w:bookmarkStart w:id="193" w:name="_Toc31316"/>
      <w:bookmarkStart w:id="194" w:name="_Toc2447"/>
      <w:bookmarkStart w:id="195" w:name="_Toc29629"/>
      <w:bookmarkStart w:id="196" w:name="_Toc30588"/>
      <w:bookmarkStart w:id="197" w:name="_Toc31904"/>
      <w:bookmarkStart w:id="198" w:name="_Toc16784"/>
      <w:bookmarkStart w:id="199" w:name="_Toc17097"/>
      <w:bookmarkStart w:id="200" w:name="_Toc3795"/>
      <w:bookmarkStart w:id="201" w:name="_Toc10059"/>
      <w:bookmarkStart w:id="202" w:name="_Toc14542"/>
      <w:r>
        <w:rPr>
          <w:rFonts w:hint="eastAsia"/>
        </w:rPr>
        <w:t>2.7监测设备自动校准</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pageBreakBefore w:val="0"/>
        <w:widowControl/>
        <w:kinsoku/>
        <w:wordWrap/>
        <w:overflowPunct/>
        <w:topLinePunct w:val="0"/>
        <w:autoSpaceDE/>
        <w:autoSpaceDN/>
        <w:bidi w:val="0"/>
        <w:adjustRightInd/>
        <w:snapToGrid/>
        <w:spacing w:line="360" w:lineRule="auto"/>
        <w:ind w:left="0" w:leftChars="0" w:right="0" w:rightChars="0" w:firstLine="480"/>
        <w:jc w:val="left"/>
        <w:textAlignment w:val="auto"/>
        <w:rPr>
          <w:rFonts w:hint="eastAsia"/>
        </w:rPr>
      </w:pPr>
      <w:r>
        <w:rPr>
          <w:rFonts w:hint="eastAsia"/>
        </w:rPr>
        <w:t>采用物联网和云计算技术，建立监测数据的神经网络模型，实现监测设备的自动校准，降低设备运维费用，提高数据的准确性。</w:t>
      </w:r>
    </w:p>
    <w:p>
      <w:pPr>
        <w:pStyle w:val="3"/>
        <w:pageBreakBefore w:val="0"/>
        <w:widowControl/>
        <w:numPr>
          <w:ilvl w:val="0"/>
          <w:numId w:val="0"/>
        </w:numPr>
        <w:kinsoku/>
        <w:wordWrap/>
        <w:overflowPunct/>
        <w:topLinePunct w:val="0"/>
        <w:autoSpaceDE/>
        <w:autoSpaceDN/>
        <w:bidi w:val="0"/>
        <w:adjustRightInd/>
        <w:snapToGrid/>
        <w:spacing w:before="0" w:after="0" w:line="360" w:lineRule="auto"/>
        <w:ind w:leftChars="0" w:right="0" w:rightChars="0"/>
        <w:jc w:val="left"/>
        <w:textAlignment w:val="auto"/>
        <w:rPr>
          <w:rFonts w:hint="eastAsia" w:ascii="宋体" w:hAnsi="宋体" w:eastAsia="宋体" w:cs="宋体"/>
          <w:sz w:val="32"/>
          <w:szCs w:val="32"/>
        </w:rPr>
      </w:pPr>
      <w:bookmarkStart w:id="203" w:name="_Toc2755"/>
      <w:bookmarkStart w:id="204" w:name="_Toc26677"/>
      <w:bookmarkStart w:id="205" w:name="_Toc25311"/>
      <w:bookmarkStart w:id="206" w:name="_Toc16848"/>
      <w:bookmarkStart w:id="207" w:name="_Toc1491"/>
      <w:bookmarkStart w:id="208" w:name="_Toc30463"/>
      <w:bookmarkStart w:id="209" w:name="_Toc31436"/>
      <w:bookmarkStart w:id="210" w:name="_Toc22563"/>
      <w:bookmarkStart w:id="211" w:name="_Toc449526625"/>
      <w:bookmarkStart w:id="212" w:name="_Toc24103"/>
      <w:bookmarkStart w:id="213" w:name="_Toc449532165"/>
      <w:bookmarkStart w:id="214" w:name="_Toc10624"/>
      <w:bookmarkStart w:id="215" w:name="_Toc3260"/>
      <w:bookmarkStart w:id="216" w:name="_Toc24095"/>
      <w:bookmarkStart w:id="217" w:name="_Toc1799"/>
      <w:bookmarkStart w:id="218" w:name="_Toc13900"/>
      <w:bookmarkStart w:id="219" w:name="_Toc15562"/>
      <w:bookmarkStart w:id="220" w:name="_Toc7250"/>
      <w:r>
        <w:rPr>
          <w:rFonts w:hint="eastAsia" w:ascii="宋体" w:hAnsi="宋体" w:eastAsia="宋体" w:cs="宋体"/>
          <w:sz w:val="32"/>
          <w:szCs w:val="32"/>
          <w:lang w:val="en-US" w:eastAsia="zh-CN"/>
        </w:rPr>
        <w:t>3.</w:t>
      </w:r>
      <w:r>
        <w:rPr>
          <w:rFonts w:hint="eastAsia" w:ascii="宋体" w:hAnsi="宋体" w:eastAsia="宋体" w:cs="宋体"/>
          <w:sz w:val="32"/>
          <w:szCs w:val="32"/>
        </w:rPr>
        <w:t>布点方案</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根据区域内有</w:t>
      </w:r>
      <w:r>
        <w:rPr>
          <w:rFonts w:hint="eastAsia"/>
          <w:lang w:eastAsia="zh-CN"/>
        </w:rPr>
        <w:t>危险</w:t>
      </w:r>
      <w:r>
        <w:rPr>
          <w:rFonts w:hint="eastAsia"/>
        </w:rPr>
        <w:t>有害气体分布及特性、环境敏感区分布、主导风向等因素，结合园区原有监测站的建设情况，识别出大气突发环境事件重点扩散途径，统筹园区VOCs及恶臭自动监测站建设。</w:t>
      </w:r>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480" w:firstLineChars="0"/>
        <w:jc w:val="left"/>
        <w:textAlignment w:val="auto"/>
        <w:outlineLvl w:val="9"/>
        <w:rPr>
          <w:rFonts w:hint="eastAsia"/>
        </w:rPr>
      </w:pPr>
      <w:r>
        <w:rPr>
          <w:rFonts w:hint="eastAsia"/>
        </w:rPr>
        <w:t>在综合考虑区域的重要性，大气污染物的污染程度、工业化发展水平的高低的基础上，对所在区域进行网格划分，在网格的交点处或中心点设立监测点位，利用分布式冗余节点判断算法，去除传感器冗余节点，从而降低计算复杂度，通信开销及设备成本。同时能够准确判断监测数据的有效性和精确性，能够绘制该区域不同时段污染物的扩散趋势，有利于对污染物控制进行科学决策。</w:t>
      </w:r>
      <w:r>
        <w:rPr>
          <w:rFonts w:hint="eastAsia"/>
          <w:lang w:eastAsia="zh-CN"/>
        </w:rPr>
        <w:t>每个测试点位，都包含</w:t>
      </w:r>
      <w:r>
        <w:rPr>
          <w:rFonts w:hint="eastAsia"/>
          <w:b/>
          <w:bCs/>
          <w:lang w:eastAsia="zh-CN"/>
        </w:rPr>
        <w:t>甲烷、总烃、非甲烷总烃、苯、甲苯、二甲苯</w:t>
      </w:r>
      <w:r>
        <w:rPr>
          <w:rFonts w:hint="eastAsia"/>
          <w:lang w:eastAsia="zh-CN"/>
        </w:rPr>
        <w:t>六项指标的实时监测。</w:t>
      </w:r>
    </w:p>
    <w:p>
      <w:pPr>
        <w:keepNext w:val="0"/>
        <w:keepLines w:val="0"/>
        <w:widowControl/>
        <w:suppressLineNumbers w:val="0"/>
        <w:ind w:left="0" w:leftChars="0" w:firstLine="0" w:firstLineChars="0"/>
        <w:jc w:val="cente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"C:\\Users\\高一楠\\AppData\\Roaming\\Tencent\\Users\\1540165594\\QQ\\WinTemp\\RichOle\\K%6GGAHLNGB~}WAR[_D%){4.png"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5102860" cy="2337435"/>
            <wp:effectExtent l="0" t="0" r="2540" b="5715"/>
            <wp:docPr id="1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56"/>
                    <pic:cNvPicPr>
                      <a:picLocks noChangeAspect="1"/>
                    </pic:cNvPicPr>
                  </pic:nvPicPr>
                  <pic:blipFill>
                    <a:blip r:embed="rId10"/>
                    <a:stretch>
                      <a:fillRect/>
                    </a:stretch>
                  </pic:blipFill>
                  <pic:spPr>
                    <a:xfrm>
                      <a:off x="0" y="0"/>
                      <a:ext cx="5102860" cy="2337435"/>
                    </a:xfrm>
                    <a:prstGeom prst="rect">
                      <a:avLst/>
                    </a:prstGeom>
                    <a:noFill/>
                    <a:ln w="9525">
                      <a:noFill/>
                    </a:ln>
                  </pic:spPr>
                </pic:pic>
              </a:graphicData>
            </a:graphic>
          </wp:inline>
        </w:drawing>
      </w:r>
      <w:r>
        <w:rPr>
          <w:rFonts w:ascii="宋体" w:hAnsi="宋体" w:eastAsia="宋体" w:cs="宋体"/>
          <w:kern w:val="0"/>
          <w:sz w:val="24"/>
          <w:szCs w:val="24"/>
          <w:lang w:val="en-US" w:eastAsia="zh-CN" w:bidi="ar"/>
        </w:rPr>
        <w:fldChar w:fldCharType="end"/>
      </w:r>
    </w:p>
    <w:p>
      <w:pPr>
        <w:ind w:firstLine="480"/>
        <w:rPr>
          <w:rFonts w:hint="eastAsia"/>
        </w:rPr>
      </w:pPr>
    </w:p>
    <w:p>
      <w:pPr>
        <w:pStyle w:val="3"/>
        <w:pageBreakBefore w:val="0"/>
        <w:widowControl/>
        <w:numPr>
          <w:ilvl w:val="0"/>
          <w:numId w:val="0"/>
        </w:numPr>
        <w:kinsoku/>
        <w:wordWrap/>
        <w:overflowPunct/>
        <w:topLinePunct w:val="0"/>
        <w:autoSpaceDE/>
        <w:autoSpaceDN/>
        <w:bidi w:val="0"/>
        <w:adjustRightInd/>
        <w:snapToGrid/>
        <w:spacing w:before="0" w:after="0" w:line="360" w:lineRule="auto"/>
        <w:ind w:leftChars="0" w:right="0" w:rightChars="0"/>
        <w:jc w:val="left"/>
        <w:textAlignment w:val="auto"/>
        <w:rPr>
          <w:rFonts w:hint="eastAsia" w:ascii="宋体" w:hAnsi="宋体" w:eastAsia="宋体" w:cs="宋体"/>
        </w:rPr>
      </w:pPr>
      <w:bookmarkStart w:id="221" w:name="_Toc2570"/>
      <w:bookmarkStart w:id="222" w:name="_Toc20963"/>
      <w:bookmarkStart w:id="223" w:name="_Toc449532166"/>
      <w:bookmarkStart w:id="224" w:name="_Toc11359"/>
      <w:bookmarkStart w:id="225" w:name="_Toc1230"/>
      <w:bookmarkStart w:id="226" w:name="_Toc96"/>
      <w:bookmarkStart w:id="227" w:name="_Toc5415"/>
      <w:bookmarkStart w:id="228" w:name="_Toc255"/>
      <w:bookmarkStart w:id="229" w:name="_Toc449526626"/>
      <w:bookmarkStart w:id="230" w:name="_Toc4809"/>
      <w:bookmarkStart w:id="231" w:name="_Toc19461"/>
      <w:bookmarkStart w:id="232" w:name="_Toc15303"/>
      <w:bookmarkStart w:id="233" w:name="_Toc9456"/>
      <w:bookmarkStart w:id="234" w:name="_Toc32053"/>
      <w:bookmarkStart w:id="235" w:name="_Toc19955"/>
      <w:bookmarkStart w:id="236" w:name="_Toc11817"/>
      <w:bookmarkStart w:id="237" w:name="_Toc20733"/>
      <w:bookmarkStart w:id="238" w:name="_Toc14469"/>
      <w:r>
        <w:rPr>
          <w:rFonts w:hint="eastAsia" w:ascii="宋体" w:hAnsi="宋体" w:eastAsia="宋体" w:cs="宋体"/>
          <w:lang w:val="en-US" w:eastAsia="zh-CN"/>
        </w:rPr>
        <w:t>4.</w:t>
      </w:r>
      <w:r>
        <w:rPr>
          <w:rFonts w:hint="eastAsia" w:ascii="宋体" w:hAnsi="宋体" w:eastAsia="宋体" w:cs="宋体"/>
        </w:rPr>
        <w:t>系统优势</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pPr>
        <w:pageBreakBefore w:val="0"/>
        <w:widowControl/>
        <w:numPr>
          <w:ilvl w:val="0"/>
          <w:numId w:val="3"/>
        </w:numPr>
        <w:kinsoku/>
        <w:wordWrap/>
        <w:overflowPunct/>
        <w:topLinePunct w:val="0"/>
        <w:autoSpaceDE/>
        <w:autoSpaceDN/>
        <w:bidi w:val="0"/>
        <w:adjustRightInd/>
        <w:snapToGrid/>
        <w:spacing w:line="360" w:lineRule="auto"/>
        <w:ind w:right="0" w:rightChars="0" w:firstLineChars="0"/>
        <w:jc w:val="left"/>
        <w:textAlignment w:val="auto"/>
        <w:rPr>
          <w:rFonts w:hint="eastAsia"/>
        </w:rPr>
      </w:pPr>
      <w:r>
        <w:rPr>
          <w:rFonts w:hint="eastAsia"/>
        </w:rPr>
        <w:t>标准的技术路线：根据国家相关标准要求提供完整的配置系统；</w:t>
      </w:r>
    </w:p>
    <w:p>
      <w:pPr>
        <w:pageBreakBefore w:val="0"/>
        <w:widowControl/>
        <w:numPr>
          <w:ilvl w:val="0"/>
          <w:numId w:val="3"/>
        </w:numPr>
        <w:kinsoku/>
        <w:wordWrap/>
        <w:overflowPunct/>
        <w:topLinePunct w:val="0"/>
        <w:autoSpaceDE/>
        <w:autoSpaceDN/>
        <w:bidi w:val="0"/>
        <w:adjustRightInd/>
        <w:snapToGrid/>
        <w:spacing w:line="360" w:lineRule="auto"/>
        <w:ind w:right="0" w:rightChars="0" w:firstLineChars="0"/>
        <w:jc w:val="left"/>
        <w:textAlignment w:val="auto"/>
        <w:rPr>
          <w:rFonts w:hint="eastAsia"/>
        </w:rPr>
      </w:pPr>
      <w:r>
        <w:rPr>
          <w:rFonts w:hint="eastAsia"/>
        </w:rPr>
        <w:t>灵活的方案配置：可根据需求扩展出多种解决方案；</w:t>
      </w:r>
    </w:p>
    <w:p>
      <w:pPr>
        <w:pageBreakBefore w:val="0"/>
        <w:widowControl/>
        <w:numPr>
          <w:ilvl w:val="0"/>
          <w:numId w:val="3"/>
        </w:numPr>
        <w:kinsoku/>
        <w:wordWrap/>
        <w:overflowPunct/>
        <w:topLinePunct w:val="0"/>
        <w:autoSpaceDE/>
        <w:autoSpaceDN/>
        <w:bidi w:val="0"/>
        <w:adjustRightInd/>
        <w:snapToGrid/>
        <w:spacing w:line="360" w:lineRule="auto"/>
        <w:ind w:right="0" w:rightChars="0" w:firstLineChars="0"/>
        <w:jc w:val="left"/>
        <w:textAlignment w:val="auto"/>
        <w:rPr>
          <w:rFonts w:hint="eastAsia"/>
        </w:rPr>
      </w:pPr>
      <w:r>
        <w:rPr>
          <w:rFonts w:hint="eastAsia"/>
        </w:rPr>
        <w:t>优质的软件平台：通过中心端软件平台，实现多站点数据集成、分析、上报和发布。</w:t>
      </w:r>
    </w:p>
    <w:p>
      <w:pPr>
        <w:pageBreakBefore w:val="0"/>
        <w:widowControl/>
        <w:numPr>
          <w:ilvl w:val="0"/>
          <w:numId w:val="3"/>
        </w:numPr>
        <w:kinsoku/>
        <w:wordWrap/>
        <w:overflowPunct/>
        <w:topLinePunct w:val="0"/>
        <w:autoSpaceDE/>
        <w:autoSpaceDN/>
        <w:bidi w:val="0"/>
        <w:adjustRightInd/>
        <w:snapToGrid/>
        <w:spacing w:line="360" w:lineRule="auto"/>
        <w:ind w:right="0" w:rightChars="0" w:firstLineChars="0"/>
        <w:jc w:val="left"/>
        <w:textAlignment w:val="auto"/>
        <w:rPr>
          <w:rFonts w:hint="eastAsia"/>
        </w:rPr>
      </w:pPr>
      <w:r>
        <w:rPr>
          <w:rFonts w:hint="eastAsia"/>
        </w:rPr>
        <w:t>科学的算法技术：采用高斯烟羽模型，分布式冗余节点判断算法实现对VOCs排放区域布点、整体监控，污染物扩散趋势推算，VOCs排放源解析等功能。</w:t>
      </w:r>
    </w:p>
    <w:p>
      <w:pPr>
        <w:pageBreakBefore w:val="0"/>
        <w:widowControl/>
        <w:numPr>
          <w:ilvl w:val="0"/>
          <w:numId w:val="3"/>
        </w:numPr>
        <w:kinsoku/>
        <w:wordWrap/>
        <w:overflowPunct/>
        <w:topLinePunct w:val="0"/>
        <w:autoSpaceDE/>
        <w:autoSpaceDN/>
        <w:bidi w:val="0"/>
        <w:adjustRightInd/>
        <w:snapToGrid/>
        <w:spacing w:line="360" w:lineRule="auto"/>
        <w:ind w:right="0" w:rightChars="0" w:firstLineChars="0"/>
        <w:jc w:val="left"/>
        <w:textAlignment w:val="auto"/>
        <w:rPr>
          <w:rFonts w:hint="eastAsia"/>
        </w:rPr>
      </w:pPr>
      <w:r>
        <w:rPr>
          <w:rFonts w:hint="eastAsia"/>
        </w:rPr>
        <w:t>精确的监测数据：可同时监测多种污染气体，具有很高的时间、空间分辨能力和探测灵敏度；</w:t>
      </w:r>
    </w:p>
    <w:p>
      <w:pPr>
        <w:pageBreakBefore w:val="0"/>
        <w:widowControl/>
        <w:numPr>
          <w:ilvl w:val="0"/>
          <w:numId w:val="3"/>
        </w:numPr>
        <w:kinsoku/>
        <w:wordWrap/>
        <w:overflowPunct/>
        <w:topLinePunct w:val="0"/>
        <w:autoSpaceDE/>
        <w:autoSpaceDN/>
        <w:bidi w:val="0"/>
        <w:adjustRightInd/>
        <w:snapToGrid/>
        <w:spacing w:line="360" w:lineRule="auto"/>
        <w:ind w:right="0" w:rightChars="0" w:firstLineChars="0"/>
        <w:jc w:val="left"/>
        <w:textAlignment w:val="auto"/>
        <w:rPr>
          <w:rFonts w:hint="eastAsia"/>
        </w:rPr>
      </w:pPr>
      <w:r>
        <w:rPr>
          <w:rFonts w:hint="eastAsia"/>
        </w:rPr>
        <w:t>低廉的运行成本：可实时、连续、长期运行，操作简单，维护方便，运行成本低；</w:t>
      </w:r>
    </w:p>
    <w:p>
      <w:pPr>
        <w:pageBreakBefore w:val="0"/>
        <w:widowControl/>
        <w:numPr>
          <w:ilvl w:val="0"/>
          <w:numId w:val="3"/>
        </w:numPr>
        <w:kinsoku/>
        <w:wordWrap/>
        <w:overflowPunct/>
        <w:topLinePunct w:val="0"/>
        <w:autoSpaceDE/>
        <w:autoSpaceDN/>
        <w:bidi w:val="0"/>
        <w:adjustRightInd/>
        <w:snapToGrid/>
        <w:spacing w:line="360" w:lineRule="auto"/>
        <w:ind w:right="0" w:rightChars="0" w:firstLineChars="0"/>
        <w:jc w:val="left"/>
        <w:textAlignment w:val="auto"/>
        <w:rPr>
          <w:rFonts w:hint="eastAsia"/>
        </w:rPr>
      </w:pPr>
      <w:r>
        <w:rPr>
          <w:rFonts w:hint="eastAsia"/>
        </w:rPr>
        <w:t>先进的配套软件：采用数据采集、分析及可视化软件，大大提高监测效率。</w:t>
      </w:r>
    </w:p>
    <w:p>
      <w:pPr>
        <w:pageBreakBefore w:val="0"/>
        <w:widowControl/>
        <w:numPr>
          <w:ilvl w:val="0"/>
          <w:numId w:val="3"/>
        </w:numPr>
        <w:kinsoku/>
        <w:wordWrap/>
        <w:overflowPunct/>
        <w:topLinePunct w:val="0"/>
        <w:autoSpaceDE/>
        <w:autoSpaceDN/>
        <w:bidi w:val="0"/>
        <w:adjustRightInd/>
        <w:snapToGrid/>
        <w:spacing w:line="360" w:lineRule="auto"/>
        <w:ind w:right="0" w:rightChars="0" w:firstLineChars="0"/>
        <w:jc w:val="left"/>
        <w:textAlignment w:val="auto"/>
        <w:rPr>
          <w:rFonts w:hint="eastAsia"/>
        </w:rPr>
      </w:pPr>
      <w:r>
        <w:rPr>
          <w:rFonts w:hint="eastAsia"/>
        </w:rPr>
        <w:t>多方位的监控方式：由“点源污染防治”向“点面区三位一体污染联防”转变，掌握各企业污染物的排放情况、园区整体空气质量及其它变化趋势</w:t>
      </w:r>
    </w:p>
    <w:p>
      <w:pPr>
        <w:pStyle w:val="3"/>
        <w:pageBreakBefore w:val="0"/>
        <w:widowControl/>
        <w:numPr>
          <w:ilvl w:val="0"/>
          <w:numId w:val="0"/>
        </w:numPr>
        <w:kinsoku/>
        <w:wordWrap/>
        <w:overflowPunct/>
        <w:topLinePunct w:val="0"/>
        <w:autoSpaceDE/>
        <w:autoSpaceDN/>
        <w:bidi w:val="0"/>
        <w:adjustRightInd/>
        <w:snapToGrid/>
        <w:spacing w:before="0" w:after="0" w:line="360" w:lineRule="auto"/>
        <w:ind w:leftChars="0" w:right="0" w:rightChars="0"/>
        <w:jc w:val="left"/>
        <w:textAlignment w:val="auto"/>
        <w:rPr>
          <w:rFonts w:hint="eastAsia" w:ascii="宋体" w:hAnsi="宋体" w:eastAsia="宋体" w:cs="宋体"/>
        </w:rPr>
      </w:pPr>
      <w:bookmarkStart w:id="239" w:name="_Toc1990"/>
      <w:bookmarkStart w:id="240" w:name="_Toc19377"/>
      <w:bookmarkStart w:id="241" w:name="_Toc2347"/>
      <w:bookmarkStart w:id="242" w:name="_Toc15742"/>
      <w:bookmarkStart w:id="243" w:name="_Toc26425"/>
      <w:bookmarkStart w:id="244" w:name="_Toc4268"/>
      <w:bookmarkStart w:id="245" w:name="_Toc681"/>
      <w:bookmarkStart w:id="246" w:name="_Toc17999"/>
      <w:bookmarkStart w:id="247" w:name="_Toc24824"/>
      <w:bookmarkStart w:id="248" w:name="_Toc17741"/>
      <w:bookmarkStart w:id="249" w:name="_Toc10757"/>
      <w:bookmarkStart w:id="250" w:name="_Toc449526627"/>
      <w:bookmarkStart w:id="251" w:name="_Toc14331"/>
      <w:bookmarkStart w:id="252" w:name="_Toc449532167"/>
      <w:bookmarkStart w:id="253" w:name="_Toc11412"/>
      <w:bookmarkStart w:id="254" w:name="_Toc6488"/>
      <w:bookmarkStart w:id="255" w:name="_Toc7071"/>
      <w:bookmarkStart w:id="256" w:name="_Toc30830"/>
      <w:r>
        <w:rPr>
          <w:rFonts w:hint="eastAsia" w:ascii="宋体" w:hAnsi="宋体" w:eastAsia="宋体" w:cs="宋体"/>
          <w:lang w:val="en-US" w:eastAsia="zh-CN"/>
        </w:rPr>
        <w:t>5.</w:t>
      </w:r>
      <w:r>
        <w:rPr>
          <w:rFonts w:hint="eastAsia" w:ascii="宋体" w:hAnsi="宋体" w:eastAsia="宋体" w:cs="宋体"/>
        </w:rPr>
        <w:t>项目效益</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p>
    <w:p>
      <w:pPr>
        <w:pageBreakBefore w:val="0"/>
        <w:widowControl/>
        <w:kinsoku/>
        <w:wordWrap/>
        <w:overflowPunct/>
        <w:topLinePunct w:val="0"/>
        <w:autoSpaceDE/>
        <w:autoSpaceDN/>
        <w:bidi w:val="0"/>
        <w:adjustRightInd/>
        <w:snapToGrid/>
        <w:spacing w:line="360" w:lineRule="auto"/>
        <w:ind w:right="0" w:rightChars="0" w:firstLine="480"/>
        <w:jc w:val="left"/>
        <w:textAlignment w:val="auto"/>
        <w:rPr>
          <w:rFonts w:hint="eastAsia"/>
        </w:rPr>
      </w:pPr>
      <w:r>
        <w:rPr>
          <w:rFonts w:hint="eastAsia"/>
        </w:rPr>
        <w:t>园区大气污染环境预警综合管理系统试点项目的建设，将极大地提高化工园区的风险监控、快速预警和应急响应能力，有效保障区域生态环境安全和人民群众生命财产安全，促进园区实现安全、稳定、集约、高效的发展目标，同时，也将产生良好的应用示范作用，为我国其它化工园区的大气污染综合管理预警体系建设提供经验。因此，项目的建设实施将产生巨大的社会效益。</w:t>
      </w: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ind w:left="0" w:leftChars="0" w:firstLine="0" w:firstLineChars="0"/>
        <w:rPr>
          <w:rFonts w:hint="eastAsia" w:asciiTheme="minorEastAsia" w:hAnsiTheme="minorEastAsia" w:eastAsiaTheme="minorEastAsia" w:cstheme="minorEastAsia"/>
          <w:sz w:val="21"/>
          <w:szCs w:val="21"/>
        </w:rPr>
      </w:pPr>
    </w:p>
    <w:p>
      <w:pPr>
        <w:pStyle w:val="24"/>
        <w:pageBreakBefore w:val="0"/>
        <w:numPr>
          <w:ilvl w:val="0"/>
          <w:numId w:val="0"/>
        </w:numPr>
        <w:kinsoku/>
        <w:wordWrap/>
        <w:overflowPunct/>
        <w:topLinePunct w:val="0"/>
        <w:autoSpaceDE w:val="0"/>
        <w:autoSpaceDN w:val="0"/>
        <w:bidi w:val="0"/>
        <w:adjustRightInd w:val="0"/>
        <w:snapToGrid/>
        <w:spacing w:line="360" w:lineRule="auto"/>
        <w:ind w:left="360" w:leftChars="0" w:right="0" w:rightChars="0"/>
        <w:textAlignment w:val="auto"/>
        <w:rPr>
          <w:rFonts w:hint="eastAsia" w:asciiTheme="minorEastAsia" w:hAnsiTheme="minorEastAsia" w:eastAsiaTheme="minorEastAsia" w:cstheme="minorEastAsia"/>
        </w:rPr>
      </w:pPr>
    </w:p>
    <w:p>
      <w:pPr>
        <w:pStyle w:val="24"/>
        <w:pageBreakBefore w:val="0"/>
        <w:numPr>
          <w:ilvl w:val="0"/>
          <w:numId w:val="0"/>
        </w:numPr>
        <w:kinsoku/>
        <w:wordWrap/>
        <w:overflowPunct/>
        <w:topLinePunct w:val="0"/>
        <w:autoSpaceDE w:val="0"/>
        <w:autoSpaceDN w:val="0"/>
        <w:bidi w:val="0"/>
        <w:adjustRightInd w:val="0"/>
        <w:snapToGrid/>
        <w:spacing w:line="360" w:lineRule="auto"/>
        <w:ind w:left="360" w:leftChars="0" w:right="0" w:rightChars="0"/>
        <w:textAlignment w:val="auto"/>
        <w:rPr>
          <w:rFonts w:hint="eastAsia" w:asciiTheme="minorEastAsia" w:hAnsiTheme="minorEastAsia" w:eastAsiaTheme="minorEastAsia" w:cstheme="minorEastAsia"/>
          <w:b/>
          <w:bCs/>
          <w:sz w:val="44"/>
          <w:szCs w:val="44"/>
        </w:rPr>
      </w:pPr>
      <w:r>
        <w:rPr>
          <w:rFonts w:hint="eastAsia" w:asciiTheme="minorEastAsia" w:hAnsiTheme="minorEastAsia" w:eastAsiaTheme="minorEastAsia" w:cstheme="minorEastAsia"/>
          <w:b/>
          <w:bCs/>
          <w:sz w:val="44"/>
          <w:szCs w:val="44"/>
          <w:lang w:eastAsia="zh-CN"/>
        </w:rPr>
        <w:t>附录</w:t>
      </w:r>
    </w:p>
    <w:p>
      <w:pPr>
        <w:pStyle w:val="3"/>
        <w:pageBreakBefore w:val="0"/>
        <w:kinsoku/>
        <w:wordWrap/>
        <w:overflowPunct/>
        <w:topLinePunct w:val="0"/>
        <w:bidi w:val="0"/>
        <w:snapToGrid/>
        <w:spacing w:before="0" w:after="0" w:line="360" w:lineRule="auto"/>
        <w:ind w:right="0" w:rightChars="0" w:firstLine="157" w:firstLineChars="49"/>
        <w:textAlignment w:val="auto"/>
        <w:rPr>
          <w:rFonts w:hint="eastAsia" w:asciiTheme="minorEastAsia" w:hAnsiTheme="minorEastAsia" w:eastAsiaTheme="minorEastAsia" w:cstheme="minorEastAsia"/>
          <w:sz w:val="36"/>
          <w:szCs w:val="36"/>
        </w:rPr>
      </w:pPr>
      <w:bookmarkStart w:id="257" w:name="_Toc5918"/>
      <w:bookmarkStart w:id="258" w:name="_Toc2150"/>
      <w:bookmarkStart w:id="259" w:name="_Toc456353500"/>
      <w:bookmarkStart w:id="260" w:name="_Toc9939"/>
      <w:bookmarkStart w:id="261" w:name="_Toc12548"/>
      <w:bookmarkStart w:id="262" w:name="_Toc4955"/>
      <w:bookmarkStart w:id="263" w:name="_Toc27527"/>
      <w:bookmarkStart w:id="264" w:name="_Toc18090"/>
      <w:bookmarkStart w:id="265" w:name="_Toc22041"/>
      <w:bookmarkStart w:id="266" w:name="_Toc225"/>
      <w:r>
        <w:rPr>
          <w:rFonts w:hint="eastAsia" w:asciiTheme="minorEastAsia" w:hAnsiTheme="minorEastAsia" w:eastAsiaTheme="minorEastAsia" w:cstheme="minorEastAsia"/>
          <w:sz w:val="36"/>
          <w:szCs w:val="36"/>
          <w:lang w:eastAsia="zh-CN"/>
        </w:rPr>
        <w:t>（一）</w:t>
      </w:r>
      <w:r>
        <w:rPr>
          <w:rFonts w:hint="eastAsia" w:asciiTheme="minorEastAsia" w:hAnsiTheme="minorEastAsia" w:eastAsiaTheme="minorEastAsia" w:cstheme="minorEastAsia"/>
          <w:sz w:val="36"/>
          <w:szCs w:val="36"/>
        </w:rPr>
        <w:t>技术参数</w:t>
      </w:r>
      <w:bookmarkEnd w:id="257"/>
      <w:bookmarkEnd w:id="258"/>
      <w:bookmarkEnd w:id="259"/>
      <w:bookmarkEnd w:id="260"/>
      <w:bookmarkEnd w:id="261"/>
      <w:bookmarkEnd w:id="262"/>
      <w:bookmarkEnd w:id="263"/>
      <w:bookmarkEnd w:id="264"/>
      <w:bookmarkEnd w:id="265"/>
      <w:bookmarkEnd w:id="266"/>
    </w:p>
    <w:tbl>
      <w:tblPr>
        <w:tblStyle w:val="21"/>
        <w:tblW w:w="9217" w:type="dxa"/>
        <w:jc w:val="center"/>
        <w:tblInd w:w="0" w:type="dxa"/>
        <w:tblLayout w:type="fixed"/>
        <w:tblCellMar>
          <w:top w:w="0" w:type="dxa"/>
          <w:left w:w="108" w:type="dxa"/>
          <w:bottom w:w="0" w:type="dxa"/>
          <w:right w:w="108" w:type="dxa"/>
        </w:tblCellMar>
      </w:tblPr>
      <w:tblGrid>
        <w:gridCol w:w="8"/>
        <w:gridCol w:w="2058"/>
        <w:gridCol w:w="8"/>
        <w:gridCol w:w="2926"/>
        <w:gridCol w:w="4217"/>
      </w:tblGrid>
      <w:tr>
        <w:tblPrEx>
          <w:tblLayout w:type="fixed"/>
          <w:tblCellMar>
            <w:top w:w="0" w:type="dxa"/>
            <w:left w:w="108" w:type="dxa"/>
            <w:bottom w:w="0" w:type="dxa"/>
            <w:right w:w="108" w:type="dxa"/>
          </w:tblCellMar>
        </w:tblPrEx>
        <w:trPr>
          <w:trHeight w:val="105" w:hRule="atLeast"/>
          <w:jc w:val="center"/>
        </w:trPr>
        <w:tc>
          <w:tcPr>
            <w:tcW w:w="2066" w:type="dxa"/>
            <w:gridSpan w:val="2"/>
            <w:vMerge w:val="restar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技术参数基本性能</w:t>
            </w: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采样方式</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泵吸式</w:t>
            </w:r>
          </w:p>
        </w:tc>
      </w:tr>
      <w:tr>
        <w:tblPrEx>
          <w:tblLayout w:type="fixed"/>
          <w:tblCellMar>
            <w:top w:w="0" w:type="dxa"/>
            <w:left w:w="108" w:type="dxa"/>
            <w:bottom w:w="0" w:type="dxa"/>
            <w:right w:w="108" w:type="dxa"/>
          </w:tblCellMar>
        </w:tblPrEx>
        <w:trPr>
          <w:trHeight w:val="99"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外壳材料</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喷塑镀锌板</w:t>
            </w:r>
          </w:p>
        </w:tc>
      </w:tr>
      <w:tr>
        <w:tblPrEx>
          <w:tblLayout w:type="fixed"/>
          <w:tblCellMar>
            <w:top w:w="0" w:type="dxa"/>
            <w:left w:w="108" w:type="dxa"/>
            <w:bottom w:w="0" w:type="dxa"/>
            <w:right w:w="108" w:type="dxa"/>
          </w:tblCellMar>
        </w:tblPrEx>
        <w:trPr>
          <w:trHeight w:val="105"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温度</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-20° to 50°C</w:t>
            </w:r>
          </w:p>
        </w:tc>
      </w:tr>
      <w:tr>
        <w:tblPrEx>
          <w:tblLayout w:type="fixed"/>
          <w:tblCellMar>
            <w:top w:w="0" w:type="dxa"/>
            <w:left w:w="108" w:type="dxa"/>
            <w:bottom w:w="0" w:type="dxa"/>
            <w:right w:w="108" w:type="dxa"/>
          </w:tblCellMar>
        </w:tblPrEx>
        <w:trPr>
          <w:trHeight w:val="105"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湿度</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 to 95%相对湿度（无冷凝）</w:t>
            </w:r>
          </w:p>
        </w:tc>
      </w:tr>
      <w:tr>
        <w:tblPrEx>
          <w:tblLayout w:type="fixed"/>
          <w:tblCellMar>
            <w:top w:w="0" w:type="dxa"/>
            <w:left w:w="108" w:type="dxa"/>
            <w:bottom w:w="0" w:type="dxa"/>
            <w:right w:w="108" w:type="dxa"/>
          </w:tblCellMar>
        </w:tblPrEx>
        <w:trPr>
          <w:trHeight w:val="485" w:hRule="atLeast"/>
          <w:jc w:val="center"/>
        </w:trPr>
        <w:tc>
          <w:tcPr>
            <w:tcW w:w="2066" w:type="dxa"/>
            <w:gridSpan w:val="2"/>
            <w:vMerge w:val="restar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传感器</w:t>
            </w: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传感器</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超过30种智能传感器，包括ppb和ppm级别的PID传感器、电化学</w:t>
            </w:r>
            <w:r>
              <w:rPr>
                <w:rFonts w:hint="eastAsia" w:asciiTheme="minorEastAsia" w:hAnsiTheme="minorEastAsia" w:eastAsiaTheme="minorEastAsia" w:cstheme="minorEastAsia"/>
                <w:color w:val="000000"/>
                <w:sz w:val="24"/>
                <w:szCs w:val="24"/>
                <w:lang w:eastAsia="zh-CN"/>
              </w:rPr>
              <w:t>危险</w:t>
            </w:r>
            <w:r>
              <w:rPr>
                <w:rFonts w:hint="eastAsia" w:asciiTheme="minorEastAsia" w:hAnsiTheme="minorEastAsia" w:eastAsiaTheme="minorEastAsia" w:cstheme="minorEastAsia"/>
                <w:color w:val="000000"/>
                <w:sz w:val="24"/>
                <w:szCs w:val="24"/>
              </w:rPr>
              <w:t>气和氧气传感器、催化燃烧传感器等</w:t>
            </w:r>
          </w:p>
        </w:tc>
      </w:tr>
      <w:tr>
        <w:tblPrEx>
          <w:tblLayout w:type="fixed"/>
          <w:tblCellMar>
            <w:top w:w="0" w:type="dxa"/>
            <w:left w:w="108" w:type="dxa"/>
            <w:bottom w:w="0" w:type="dxa"/>
            <w:right w:w="108" w:type="dxa"/>
          </w:tblCellMar>
        </w:tblPrEx>
        <w:trPr>
          <w:trHeight w:val="105"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其他传感器</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温度/湿度传感器</w:t>
            </w:r>
          </w:p>
        </w:tc>
      </w:tr>
      <w:tr>
        <w:tblPrEx>
          <w:tblLayout w:type="fixed"/>
          <w:tblCellMar>
            <w:top w:w="0" w:type="dxa"/>
            <w:left w:w="108" w:type="dxa"/>
            <w:bottom w:w="0" w:type="dxa"/>
            <w:right w:w="108" w:type="dxa"/>
          </w:tblCellMar>
        </w:tblPrEx>
        <w:trPr>
          <w:trHeight w:val="232"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准确度</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VOC：±3%F.S，其他：±2%F.S.</w:t>
            </w:r>
          </w:p>
        </w:tc>
      </w:tr>
      <w:tr>
        <w:tblPrEx>
          <w:tblLayout w:type="fixed"/>
          <w:tblCellMar>
            <w:top w:w="0" w:type="dxa"/>
            <w:left w:w="108" w:type="dxa"/>
            <w:bottom w:w="0" w:type="dxa"/>
            <w:right w:w="108" w:type="dxa"/>
          </w:tblCellMar>
        </w:tblPrEx>
        <w:trPr>
          <w:trHeight w:val="108"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响应时间（T90）</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&lt;30s</w:t>
            </w:r>
          </w:p>
        </w:tc>
      </w:tr>
      <w:tr>
        <w:tblPrEx>
          <w:tblLayout w:type="fixed"/>
          <w:tblCellMar>
            <w:top w:w="0" w:type="dxa"/>
            <w:left w:w="108" w:type="dxa"/>
            <w:bottom w:w="0" w:type="dxa"/>
            <w:right w:w="108" w:type="dxa"/>
          </w:tblCellMar>
        </w:tblPrEx>
        <w:trPr>
          <w:trHeight w:val="214" w:hRule="atLeast"/>
          <w:jc w:val="center"/>
        </w:trPr>
        <w:tc>
          <w:tcPr>
            <w:tcW w:w="2066" w:type="dxa"/>
            <w:gridSpan w:val="2"/>
            <w:vMerge w:val="restar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distribute"/>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报警参数</w:t>
            </w: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报警方式</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现场指示灯报警</w:t>
            </w:r>
          </w:p>
        </w:tc>
      </w:tr>
      <w:tr>
        <w:tblPrEx>
          <w:tblLayout w:type="fixed"/>
          <w:tblCellMar>
            <w:top w:w="0" w:type="dxa"/>
            <w:left w:w="108" w:type="dxa"/>
            <w:bottom w:w="0" w:type="dxa"/>
            <w:right w:w="108" w:type="dxa"/>
          </w:tblCellMar>
        </w:tblPrEx>
        <w:trPr>
          <w:trHeight w:val="99"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气体浓度超标报警</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指示灯报警</w:t>
            </w:r>
          </w:p>
        </w:tc>
      </w:tr>
      <w:tr>
        <w:tblPrEx>
          <w:tblLayout w:type="fixed"/>
          <w:tblCellMar>
            <w:top w:w="0" w:type="dxa"/>
            <w:left w:w="108" w:type="dxa"/>
            <w:bottom w:w="0" w:type="dxa"/>
            <w:right w:w="108" w:type="dxa"/>
          </w:tblCellMar>
        </w:tblPrEx>
        <w:trPr>
          <w:trHeight w:val="99"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系统运行报警</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指示灯报警（控制主电）</w:t>
            </w:r>
          </w:p>
        </w:tc>
      </w:tr>
      <w:tr>
        <w:tblPrEx>
          <w:tblLayout w:type="fixed"/>
          <w:tblCellMar>
            <w:top w:w="0" w:type="dxa"/>
            <w:left w:w="108" w:type="dxa"/>
            <w:bottom w:w="0" w:type="dxa"/>
            <w:right w:w="108" w:type="dxa"/>
          </w:tblCellMar>
        </w:tblPrEx>
        <w:trPr>
          <w:trHeight w:val="105" w:hRule="atLeast"/>
          <w:jc w:val="center"/>
        </w:trPr>
        <w:tc>
          <w:tcPr>
            <w:tcW w:w="2066" w:type="dxa"/>
            <w:gridSpan w:val="2"/>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通讯参数</w:t>
            </w: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数据通讯</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RS-232 ，可内置第三方数采仪</w:t>
            </w:r>
          </w:p>
        </w:tc>
      </w:tr>
      <w:tr>
        <w:tblPrEx>
          <w:tblLayout w:type="fixed"/>
          <w:tblCellMar>
            <w:top w:w="0" w:type="dxa"/>
            <w:left w:w="108" w:type="dxa"/>
            <w:bottom w:w="0" w:type="dxa"/>
            <w:right w:w="108" w:type="dxa"/>
          </w:tblCellMar>
        </w:tblPrEx>
        <w:trPr>
          <w:trHeight w:val="228" w:hRule="atLeast"/>
          <w:jc w:val="center"/>
        </w:trPr>
        <w:tc>
          <w:tcPr>
            <w:tcW w:w="2066" w:type="dxa"/>
            <w:gridSpan w:val="2"/>
            <w:vMerge w:val="restar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电源</w:t>
            </w: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工作电源</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AC 220V（如该电源失效，</w:t>
            </w:r>
            <w:r>
              <w:rPr>
                <w:rFonts w:hint="eastAsia" w:asciiTheme="minorEastAsia" w:hAnsiTheme="minorEastAsia" w:eastAsiaTheme="minorEastAsia" w:cstheme="minorEastAsia"/>
                <w:b/>
                <w:bCs/>
                <w:color w:val="000000"/>
                <w:sz w:val="24"/>
                <w:szCs w:val="24"/>
              </w:rPr>
              <w:t>3G</w:t>
            </w:r>
            <w:r>
              <w:rPr>
                <w:rFonts w:hint="eastAsia" w:asciiTheme="minorEastAsia" w:hAnsiTheme="minorEastAsia" w:eastAsiaTheme="minorEastAsia" w:cstheme="minorEastAsia"/>
                <w:color w:val="000000"/>
                <w:sz w:val="24"/>
                <w:szCs w:val="24"/>
              </w:rPr>
              <w:t>无线模块将停止工作）</w:t>
            </w:r>
          </w:p>
        </w:tc>
      </w:tr>
      <w:tr>
        <w:tblPrEx>
          <w:tblLayout w:type="fixed"/>
          <w:tblCellMar>
            <w:top w:w="0" w:type="dxa"/>
            <w:left w:w="108" w:type="dxa"/>
            <w:bottom w:w="0" w:type="dxa"/>
            <w:right w:w="108" w:type="dxa"/>
          </w:tblCellMar>
        </w:tblPrEx>
        <w:trPr>
          <w:trHeight w:val="99"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电源状态指示</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支持</w:t>
            </w:r>
          </w:p>
        </w:tc>
      </w:tr>
      <w:tr>
        <w:tblPrEx>
          <w:tblLayout w:type="fixed"/>
          <w:tblCellMar>
            <w:top w:w="0" w:type="dxa"/>
            <w:left w:w="108" w:type="dxa"/>
            <w:bottom w:w="0" w:type="dxa"/>
            <w:right w:w="108" w:type="dxa"/>
          </w:tblCellMar>
        </w:tblPrEx>
        <w:trPr>
          <w:trHeight w:val="105"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备用电源</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支持(需保证面板上备电开关打开)</w:t>
            </w:r>
          </w:p>
        </w:tc>
      </w:tr>
      <w:tr>
        <w:tblPrEx>
          <w:tblLayout w:type="fixed"/>
          <w:tblCellMar>
            <w:top w:w="0" w:type="dxa"/>
            <w:left w:w="108" w:type="dxa"/>
            <w:bottom w:w="0" w:type="dxa"/>
            <w:right w:w="108" w:type="dxa"/>
          </w:tblCellMar>
        </w:tblPrEx>
        <w:trPr>
          <w:trHeight w:val="105"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34" w:type="dxa"/>
            <w:gridSpan w:val="2"/>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备用电源工作时间</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&gt;2小时</w:t>
            </w:r>
            <w:bookmarkStart w:id="288" w:name="_GoBack"/>
            <w:bookmarkEnd w:id="288"/>
          </w:p>
        </w:tc>
      </w:tr>
      <w:tr>
        <w:tblPrEx>
          <w:tblLayout w:type="fixed"/>
          <w:tblCellMar>
            <w:top w:w="0" w:type="dxa"/>
            <w:left w:w="108" w:type="dxa"/>
            <w:bottom w:w="0" w:type="dxa"/>
            <w:right w:w="108" w:type="dxa"/>
          </w:tblCellMar>
        </w:tblPrEx>
        <w:trPr>
          <w:gridBefore w:val="1"/>
          <w:wBefore w:w="8" w:type="dxa"/>
          <w:trHeight w:val="105" w:hRule="atLeast"/>
          <w:jc w:val="center"/>
        </w:trPr>
        <w:tc>
          <w:tcPr>
            <w:tcW w:w="2066" w:type="dxa"/>
            <w:gridSpan w:val="2"/>
            <w:vMerge w:val="restar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物理指标</w:t>
            </w:r>
          </w:p>
        </w:tc>
        <w:tc>
          <w:tcPr>
            <w:tcW w:w="2926"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尺寸</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60cmx50cmx19cm</w:t>
            </w:r>
          </w:p>
        </w:tc>
      </w:tr>
      <w:tr>
        <w:tblPrEx>
          <w:tblLayout w:type="fixed"/>
          <w:tblCellMar>
            <w:top w:w="0" w:type="dxa"/>
            <w:left w:w="108" w:type="dxa"/>
            <w:bottom w:w="0" w:type="dxa"/>
            <w:right w:w="108" w:type="dxa"/>
          </w:tblCellMar>
        </w:tblPrEx>
        <w:trPr>
          <w:gridBefore w:val="1"/>
          <w:wBefore w:w="8" w:type="dxa"/>
          <w:trHeight w:val="105"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p>
        </w:tc>
        <w:tc>
          <w:tcPr>
            <w:tcW w:w="2926"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重量</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10Kg</w:t>
            </w:r>
          </w:p>
        </w:tc>
      </w:tr>
      <w:tr>
        <w:tblPrEx>
          <w:tblLayout w:type="fixed"/>
          <w:tblCellMar>
            <w:top w:w="0" w:type="dxa"/>
            <w:left w:w="108" w:type="dxa"/>
            <w:bottom w:w="0" w:type="dxa"/>
            <w:right w:w="108" w:type="dxa"/>
          </w:tblCellMar>
        </w:tblPrEx>
        <w:trPr>
          <w:gridBefore w:val="1"/>
          <w:wBefore w:w="8" w:type="dxa"/>
          <w:trHeight w:val="99" w:hRule="atLeast"/>
          <w:jc w:val="center"/>
        </w:trPr>
        <w:tc>
          <w:tcPr>
            <w:tcW w:w="2066" w:type="dxa"/>
            <w:gridSpan w:val="2"/>
            <w:vMerge w:val="restart"/>
            <w:tcBorders>
              <w:top w:val="single" w:color="auto" w:sz="4" w:space="0"/>
              <w:left w:val="single" w:color="auto" w:sz="4" w:space="0"/>
              <w:bottom w:val="single" w:color="auto" w:sz="4" w:space="0"/>
              <w:right w:val="single" w:color="auto" w:sz="4" w:space="0"/>
            </w:tcBorders>
          </w:tcPr>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预处理</w:t>
            </w:r>
          </w:p>
        </w:tc>
        <w:tc>
          <w:tcPr>
            <w:tcW w:w="2926"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支持功能</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除水、除尘</w:t>
            </w:r>
          </w:p>
        </w:tc>
      </w:tr>
      <w:tr>
        <w:tblPrEx>
          <w:tblLayout w:type="fixed"/>
          <w:tblCellMar>
            <w:top w:w="0" w:type="dxa"/>
            <w:left w:w="108" w:type="dxa"/>
            <w:bottom w:w="0" w:type="dxa"/>
            <w:right w:w="108" w:type="dxa"/>
          </w:tblCellMar>
        </w:tblPrEx>
        <w:trPr>
          <w:gridBefore w:val="1"/>
          <w:wBefore w:w="8" w:type="dxa"/>
          <w:trHeight w:val="105" w:hRule="atLeast"/>
          <w:jc w:val="center"/>
        </w:trPr>
        <w:tc>
          <w:tcPr>
            <w:tcW w:w="2066" w:type="dxa"/>
            <w:gridSpan w:val="2"/>
            <w:vMerge w:val="continue"/>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p>
        </w:tc>
        <w:tc>
          <w:tcPr>
            <w:tcW w:w="2926"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过滤器滤芯</w:t>
            </w:r>
          </w:p>
        </w:tc>
        <w:tc>
          <w:tcPr>
            <w:tcW w:w="4217"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0.5微米</w:t>
            </w:r>
          </w:p>
        </w:tc>
      </w:tr>
    </w:tbl>
    <w:p>
      <w:pPr>
        <w:pStyle w:val="3"/>
        <w:pageBreakBefore w:val="0"/>
        <w:kinsoku/>
        <w:wordWrap/>
        <w:overflowPunct/>
        <w:topLinePunct w:val="0"/>
        <w:bidi w:val="0"/>
        <w:snapToGrid/>
        <w:spacing w:before="0" w:after="0" w:line="360" w:lineRule="auto"/>
        <w:ind w:right="0" w:rightChars="0"/>
        <w:textAlignment w:val="auto"/>
        <w:rPr>
          <w:rFonts w:hint="eastAsia" w:asciiTheme="minorEastAsia" w:hAnsiTheme="minorEastAsia" w:eastAsiaTheme="minorEastAsia" w:cstheme="minorEastAsia"/>
          <w:sz w:val="36"/>
          <w:szCs w:val="36"/>
        </w:rPr>
      </w:pPr>
      <w:bookmarkStart w:id="267" w:name="_Toc29586"/>
      <w:bookmarkStart w:id="268" w:name="_Toc456353501"/>
      <w:bookmarkStart w:id="269" w:name="_Toc16007"/>
      <w:bookmarkStart w:id="270" w:name="_Toc206"/>
      <w:bookmarkStart w:id="271" w:name="_Toc29031"/>
      <w:bookmarkStart w:id="272" w:name="_Toc18698"/>
      <w:bookmarkStart w:id="273" w:name="_Toc12888"/>
      <w:bookmarkStart w:id="274" w:name="_Toc24515"/>
      <w:bookmarkStart w:id="275" w:name="_Toc11009"/>
      <w:bookmarkStart w:id="276" w:name="_Toc13488"/>
      <w:r>
        <w:rPr>
          <w:rFonts w:hint="eastAsia" w:asciiTheme="minorEastAsia" w:hAnsiTheme="minorEastAsia" w:eastAsiaTheme="minorEastAsia" w:cstheme="minorEastAsia"/>
          <w:sz w:val="36"/>
          <w:szCs w:val="36"/>
          <w:lang w:eastAsia="zh-CN"/>
        </w:rPr>
        <w:t>（二）</w:t>
      </w:r>
      <w:r>
        <w:rPr>
          <w:rFonts w:hint="eastAsia" w:asciiTheme="minorEastAsia" w:hAnsiTheme="minorEastAsia" w:eastAsiaTheme="minorEastAsia" w:cstheme="minorEastAsia"/>
          <w:sz w:val="36"/>
          <w:szCs w:val="36"/>
        </w:rPr>
        <w:t>传感器参数</w:t>
      </w:r>
      <w:bookmarkEnd w:id="267"/>
      <w:bookmarkEnd w:id="268"/>
      <w:bookmarkEnd w:id="269"/>
      <w:bookmarkEnd w:id="270"/>
      <w:bookmarkEnd w:id="271"/>
      <w:bookmarkEnd w:id="272"/>
      <w:bookmarkEnd w:id="273"/>
      <w:bookmarkEnd w:id="274"/>
      <w:bookmarkEnd w:id="275"/>
      <w:bookmarkEnd w:id="276"/>
    </w:p>
    <w:tbl>
      <w:tblPr>
        <w:tblStyle w:val="21"/>
        <w:tblW w:w="8620" w:type="dxa"/>
        <w:jc w:val="center"/>
        <w:tblInd w:w="0" w:type="dxa"/>
        <w:tblLayout w:type="fixed"/>
        <w:tblCellMar>
          <w:top w:w="0" w:type="dxa"/>
          <w:left w:w="0" w:type="dxa"/>
          <w:bottom w:w="0" w:type="dxa"/>
          <w:right w:w="0" w:type="dxa"/>
        </w:tblCellMar>
      </w:tblPr>
      <w:tblGrid>
        <w:gridCol w:w="2235"/>
        <w:gridCol w:w="1583"/>
        <w:gridCol w:w="2507"/>
        <w:gridCol w:w="2295"/>
      </w:tblGrid>
      <w:tr>
        <w:tblPrEx>
          <w:tblLayout w:type="fixed"/>
          <w:tblCellMar>
            <w:top w:w="0" w:type="dxa"/>
            <w:left w:w="0" w:type="dxa"/>
            <w:bottom w:w="0" w:type="dxa"/>
            <w:right w:w="0" w:type="dxa"/>
          </w:tblCellMar>
        </w:tblPrEx>
        <w:trPr>
          <w:trHeight w:val="540" w:hRule="atLeast"/>
          <w:jc w:val="center"/>
        </w:trPr>
        <w:tc>
          <w:tcPr>
            <w:tcW w:w="2235" w:type="dxa"/>
            <w:tcBorders>
              <w:top w:val="single" w:color="000000" w:sz="8" w:space="0"/>
              <w:left w:val="single" w:color="000000" w:sz="8" w:space="0"/>
              <w:bottom w:val="single" w:color="000000" w:sz="8" w:space="0"/>
              <w:right w:val="single" w:color="000000" w:sz="8" w:space="0"/>
            </w:tcBorders>
            <w:shd w:val="clear" w:color="auto" w:fill="D9D9D9"/>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气体名称</w:t>
            </w:r>
          </w:p>
        </w:tc>
        <w:tc>
          <w:tcPr>
            <w:tcW w:w="1583" w:type="dxa"/>
            <w:tcBorders>
              <w:top w:val="single" w:color="000000" w:sz="8" w:space="0"/>
              <w:left w:val="single" w:color="000000" w:sz="8" w:space="0"/>
              <w:bottom w:val="single" w:color="000000" w:sz="8" w:space="0"/>
              <w:right w:val="single" w:color="000000" w:sz="8" w:space="0"/>
            </w:tcBorders>
            <w:shd w:val="clear" w:color="auto" w:fill="D9D9D9"/>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传感器</w:t>
            </w:r>
          </w:p>
        </w:tc>
        <w:tc>
          <w:tcPr>
            <w:tcW w:w="2507" w:type="dxa"/>
            <w:tcBorders>
              <w:top w:val="single" w:color="000000" w:sz="8" w:space="0"/>
              <w:left w:val="single" w:color="000000" w:sz="8" w:space="0"/>
              <w:bottom w:val="single" w:color="000000" w:sz="8" w:space="0"/>
              <w:right w:val="single" w:color="000000" w:sz="8" w:space="0"/>
            </w:tcBorders>
            <w:shd w:val="clear" w:color="auto" w:fill="D9D9D9"/>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标准量程</w:t>
            </w:r>
          </w:p>
        </w:tc>
        <w:tc>
          <w:tcPr>
            <w:tcW w:w="2295" w:type="dxa"/>
            <w:tcBorders>
              <w:top w:val="single" w:color="000000" w:sz="8" w:space="0"/>
              <w:left w:val="single" w:color="000000" w:sz="8" w:space="0"/>
              <w:bottom w:val="single" w:color="000000" w:sz="8" w:space="0"/>
              <w:right w:val="single" w:color="000000" w:sz="8" w:space="0"/>
            </w:tcBorders>
            <w:shd w:val="clear" w:color="auto" w:fill="D9D9D9"/>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分辨率</w:t>
            </w:r>
          </w:p>
        </w:tc>
      </w:tr>
      <w:tr>
        <w:tblPrEx>
          <w:tblLayout w:type="fixed"/>
          <w:tblCellMar>
            <w:top w:w="0" w:type="dxa"/>
            <w:left w:w="0" w:type="dxa"/>
            <w:bottom w:w="0" w:type="dxa"/>
            <w:right w:w="0" w:type="dxa"/>
          </w:tblCellMar>
        </w:tblPrEx>
        <w:trPr>
          <w:trHeight w:val="360" w:hRule="atLeast"/>
          <w:jc w:val="center"/>
        </w:trPr>
        <w:tc>
          <w:tcPr>
            <w:tcW w:w="2235" w:type="dxa"/>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非甲烷总烃</w:t>
            </w:r>
          </w:p>
        </w:tc>
        <w:tc>
          <w:tcPr>
            <w:tcW w:w="1583" w:type="dxa"/>
            <w:tcBorders>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PID</w:t>
            </w:r>
          </w:p>
        </w:tc>
        <w:tc>
          <w:tcPr>
            <w:tcW w:w="25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0～1000ppm</w:t>
            </w:r>
          </w:p>
        </w:tc>
        <w:tc>
          <w:tcPr>
            <w:tcW w:w="229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1ppm</w:t>
            </w:r>
          </w:p>
        </w:tc>
      </w:tr>
      <w:tr>
        <w:tblPrEx>
          <w:tblLayout w:type="fixed"/>
          <w:tblCellMar>
            <w:top w:w="0" w:type="dxa"/>
            <w:left w:w="0" w:type="dxa"/>
            <w:bottom w:w="0" w:type="dxa"/>
            <w:right w:w="0" w:type="dxa"/>
          </w:tblCellMar>
        </w:tblPrEx>
        <w:trPr>
          <w:trHeight w:val="285" w:hRule="atLeast"/>
          <w:jc w:val="center"/>
        </w:trPr>
        <w:tc>
          <w:tcPr>
            <w:tcW w:w="223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氨气</w:t>
            </w:r>
          </w:p>
        </w:tc>
        <w:tc>
          <w:tcPr>
            <w:tcW w:w="158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NH3</w:t>
            </w:r>
          </w:p>
        </w:tc>
        <w:tc>
          <w:tcPr>
            <w:tcW w:w="25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0～100ppm</w:t>
            </w:r>
          </w:p>
        </w:tc>
        <w:tc>
          <w:tcPr>
            <w:tcW w:w="229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1ppm</w:t>
            </w:r>
          </w:p>
        </w:tc>
      </w:tr>
      <w:tr>
        <w:tblPrEx>
          <w:tblLayout w:type="fixed"/>
          <w:tblCellMar>
            <w:top w:w="0" w:type="dxa"/>
            <w:left w:w="0" w:type="dxa"/>
            <w:bottom w:w="0" w:type="dxa"/>
            <w:right w:w="0" w:type="dxa"/>
          </w:tblCellMar>
        </w:tblPrEx>
        <w:trPr>
          <w:trHeight w:val="285" w:hRule="atLeast"/>
          <w:jc w:val="center"/>
        </w:trPr>
        <w:tc>
          <w:tcPr>
            <w:tcW w:w="223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氯化氢</w:t>
            </w:r>
          </w:p>
        </w:tc>
        <w:tc>
          <w:tcPr>
            <w:tcW w:w="158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HCl</w:t>
            </w:r>
          </w:p>
        </w:tc>
        <w:tc>
          <w:tcPr>
            <w:tcW w:w="25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0～30ppm</w:t>
            </w:r>
          </w:p>
        </w:tc>
        <w:tc>
          <w:tcPr>
            <w:tcW w:w="229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0.1ppm</w:t>
            </w:r>
          </w:p>
        </w:tc>
      </w:tr>
      <w:tr>
        <w:tblPrEx>
          <w:tblLayout w:type="fixed"/>
          <w:tblCellMar>
            <w:top w:w="0" w:type="dxa"/>
            <w:left w:w="0" w:type="dxa"/>
            <w:bottom w:w="0" w:type="dxa"/>
            <w:right w:w="0" w:type="dxa"/>
          </w:tblCellMar>
        </w:tblPrEx>
        <w:trPr>
          <w:trHeight w:val="285" w:hRule="atLeast"/>
          <w:jc w:val="center"/>
        </w:trPr>
        <w:tc>
          <w:tcPr>
            <w:tcW w:w="223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氟化氢</w:t>
            </w:r>
          </w:p>
        </w:tc>
        <w:tc>
          <w:tcPr>
            <w:tcW w:w="1583"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HF</w:t>
            </w:r>
          </w:p>
        </w:tc>
        <w:tc>
          <w:tcPr>
            <w:tcW w:w="2507"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0～10ppm</w:t>
            </w:r>
          </w:p>
        </w:tc>
        <w:tc>
          <w:tcPr>
            <w:tcW w:w="2295" w:type="dxa"/>
            <w:tcBorders>
              <w:top w:val="single" w:color="000000" w:sz="8" w:space="0"/>
              <w:left w:val="single" w:color="000000" w:sz="8" w:space="0"/>
              <w:bottom w:val="single" w:color="000000" w:sz="8" w:space="0"/>
              <w:right w:val="single" w:color="000000" w:sz="8" w:space="0"/>
            </w:tcBorders>
            <w:shd w:val="clear" w:color="auto" w:fill="auto"/>
            <w:tcMar>
              <w:top w:w="72" w:type="dxa"/>
              <w:left w:w="144" w:type="dxa"/>
              <w:bottom w:w="72" w:type="dxa"/>
              <w:right w:w="144" w:type="dxa"/>
            </w:tcMar>
            <w:vAlign w:val="center"/>
          </w:tcPr>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0.1ppm</w:t>
            </w:r>
          </w:p>
        </w:tc>
      </w:tr>
    </w:tbl>
    <w:p>
      <w:pPr>
        <w:pageBreakBefore w:val="0"/>
        <w:kinsoku/>
        <w:wordWrap/>
        <w:overflowPunct/>
        <w:topLinePunct w:val="0"/>
        <w:autoSpaceDE w:val="0"/>
        <w:autoSpaceDN w:val="0"/>
        <w:bidi w:val="0"/>
        <w:adjustRightInd w:val="0"/>
        <w:snapToGrid/>
        <w:spacing w:line="360" w:lineRule="auto"/>
        <w:ind w:right="0" w:rightChars="0"/>
        <w:textAlignment w:val="auto"/>
        <w:rPr>
          <w:rFonts w:hint="eastAsia" w:asciiTheme="minorEastAsia" w:hAnsiTheme="minorEastAsia" w:eastAsiaTheme="minorEastAsia" w:cstheme="minorEastAsia"/>
          <w:color w:val="000000"/>
          <w:sz w:val="21"/>
          <w:szCs w:val="21"/>
        </w:rPr>
      </w:pPr>
    </w:p>
    <w:p>
      <w:pPr>
        <w:pStyle w:val="3"/>
        <w:pageBreakBefore w:val="0"/>
        <w:numPr>
          <w:ilvl w:val="0"/>
          <w:numId w:val="0"/>
        </w:numPr>
        <w:kinsoku/>
        <w:wordWrap/>
        <w:overflowPunct/>
        <w:topLinePunct w:val="0"/>
        <w:bidi w:val="0"/>
        <w:snapToGrid/>
        <w:spacing w:before="0" w:after="0" w:line="360" w:lineRule="auto"/>
        <w:ind w:right="0" w:rightChars="0"/>
        <w:textAlignment w:val="auto"/>
        <w:rPr>
          <w:rFonts w:hint="eastAsia" w:asciiTheme="minorEastAsia" w:hAnsiTheme="minorEastAsia" w:eastAsiaTheme="minorEastAsia" w:cstheme="minorEastAsia"/>
          <w:sz w:val="36"/>
          <w:szCs w:val="36"/>
        </w:rPr>
      </w:pPr>
      <w:bookmarkStart w:id="277" w:name="_Toc18617"/>
      <w:bookmarkStart w:id="278" w:name="_Toc456353502"/>
      <w:bookmarkStart w:id="279" w:name="_Toc21451"/>
      <w:bookmarkStart w:id="280" w:name="_Toc16939"/>
      <w:bookmarkStart w:id="281" w:name="_Toc15177"/>
      <w:bookmarkStart w:id="282" w:name="_Toc19679"/>
      <w:bookmarkStart w:id="283" w:name="_Toc22105"/>
      <w:bookmarkStart w:id="284" w:name="_Toc10294"/>
      <w:bookmarkStart w:id="285" w:name="_Toc25847"/>
      <w:bookmarkStart w:id="286" w:name="_Toc191"/>
      <w:r>
        <w:rPr>
          <w:rFonts w:hint="eastAsia" w:asciiTheme="minorEastAsia" w:hAnsiTheme="minorEastAsia" w:eastAsiaTheme="minorEastAsia" w:cstheme="minorEastAsia"/>
          <w:sz w:val="36"/>
          <w:szCs w:val="36"/>
          <w:lang w:eastAsia="zh-CN"/>
        </w:rPr>
        <w:t>（三）</w:t>
      </w:r>
      <w:r>
        <w:rPr>
          <w:rFonts w:hint="eastAsia" w:asciiTheme="minorEastAsia" w:hAnsiTheme="minorEastAsia" w:eastAsiaTheme="minorEastAsia" w:cstheme="minorEastAsia"/>
          <w:sz w:val="36"/>
          <w:szCs w:val="36"/>
        </w:rPr>
        <w:t>外形</w:t>
      </w:r>
      <w:bookmarkEnd w:id="277"/>
      <w:bookmarkEnd w:id="278"/>
      <w:bookmarkEnd w:id="279"/>
      <w:bookmarkEnd w:id="280"/>
      <w:bookmarkEnd w:id="281"/>
      <w:bookmarkEnd w:id="282"/>
      <w:bookmarkEnd w:id="283"/>
      <w:bookmarkEnd w:id="284"/>
      <w:bookmarkEnd w:id="285"/>
      <w:bookmarkEnd w:id="286"/>
    </w:p>
    <w:p>
      <w:pPr>
        <w:numPr>
          <w:ilvl w:val="0"/>
          <w:numId w:val="0"/>
        </w:numPr>
        <w:rPr>
          <w:rFonts w:hint="eastAsia"/>
        </w:rPr>
      </w:pPr>
    </w:p>
    <w:p>
      <w:pPr>
        <w:pageBreakBefore w:val="0"/>
        <w:kinsoku/>
        <w:wordWrap/>
        <w:overflowPunct/>
        <w:topLinePunct w:val="0"/>
        <w:autoSpaceDE w:val="0"/>
        <w:autoSpaceDN w:val="0"/>
        <w:bidi w:val="0"/>
        <w:adjustRightInd w:val="0"/>
        <w:snapToGrid/>
        <w:spacing w:line="360" w:lineRule="auto"/>
        <w:ind w:right="0" w:right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drawing>
          <wp:inline distT="0" distB="0" distL="0" distR="0">
            <wp:extent cx="1917700" cy="3283585"/>
            <wp:effectExtent l="0" t="0" r="6350" b="12065"/>
            <wp:docPr id="49" name="图片 8" descr="说明: 正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descr="说明: 正视"/>
                    <pic:cNvPicPr>
                      <a:picLocks noChangeAspect="1" noChangeArrowheads="1"/>
                    </pic:cNvPicPr>
                  </pic:nvPicPr>
                  <pic:blipFill>
                    <a:blip r:embed="rId14" cstate="print"/>
                    <a:srcRect/>
                    <a:stretch>
                      <a:fillRect/>
                    </a:stretch>
                  </pic:blipFill>
                  <pic:spPr>
                    <a:xfrm>
                      <a:off x="0" y="0"/>
                      <a:ext cx="1917700" cy="3283585"/>
                    </a:xfrm>
                    <a:prstGeom prst="rect">
                      <a:avLst/>
                    </a:prstGeom>
                    <a:noFill/>
                    <a:ln w="9525">
                      <a:noFill/>
                      <a:miter lim="800000"/>
                      <a:headEnd/>
                      <a:tailEnd/>
                    </a:ln>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图</w:t>
      </w:r>
      <w:r>
        <w:rPr>
          <w:rFonts w:hint="eastAsia" w:asciiTheme="minorEastAsia" w:hAnsiTheme="minorEastAsia" w:eastAsiaTheme="minorEastAsia" w:cstheme="minorEastAsia"/>
          <w:sz w:val="21"/>
          <w:szCs w:val="21"/>
          <w:lang w:eastAsia="zh-CN"/>
        </w:rPr>
        <w:t>一</w:t>
      </w:r>
      <w:r>
        <w:rPr>
          <w:rFonts w:hint="eastAsia" w:asciiTheme="minorEastAsia" w:hAnsiTheme="minorEastAsia" w:eastAsiaTheme="minorEastAsia" w:cstheme="minorEastAsia"/>
          <w:sz w:val="21"/>
          <w:szCs w:val="21"/>
        </w:rPr>
        <w:t>“多气体边界监控系统（</w:t>
      </w:r>
      <w:r>
        <w:rPr>
          <w:rFonts w:hint="eastAsia" w:asciiTheme="minorEastAsia" w:hAnsiTheme="minorEastAsia" w:eastAsiaTheme="minorEastAsia" w:cstheme="minorEastAsia"/>
          <w:sz w:val="21"/>
          <w:szCs w:val="21"/>
          <w:lang w:val="en-US" w:eastAsia="zh-CN"/>
        </w:rPr>
        <w:t>ZWIN</w:t>
      </w:r>
      <w:r>
        <w:rPr>
          <w:rFonts w:hint="eastAsia" w:asciiTheme="minorEastAsia" w:hAnsiTheme="minorEastAsia" w:eastAsiaTheme="minorEastAsia" w:cstheme="minorEastAsia"/>
          <w:sz w:val="21"/>
          <w:szCs w:val="21"/>
        </w:rPr>
        <w:t xml:space="preserve"> Site</w:t>
      </w:r>
      <w:r>
        <w:rPr>
          <w:rFonts w:hint="eastAsia" w:asciiTheme="minorEastAsia" w:hAnsiTheme="minorEastAsia" w:eastAsiaTheme="minorEastAsia" w:cstheme="minorEastAsia"/>
          <w:sz w:val="21"/>
          <w:szCs w:val="21"/>
          <w:lang w:val="en-US" w:eastAsia="zh-CN"/>
        </w:rPr>
        <w:t>06</w:t>
      </w:r>
      <w:r>
        <w:rPr>
          <w:rFonts w:hint="eastAsia" w:asciiTheme="minorEastAsia" w:hAnsiTheme="minorEastAsia" w:eastAsiaTheme="minorEastAsia" w:cstheme="minorEastAsia"/>
          <w:sz w:val="21"/>
          <w:szCs w:val="21"/>
        </w:rPr>
        <w:t>）”外形*</w:t>
      </w:r>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*因产品升级导致的外形变化恕不能提前告知，实际外形以最新版本为准。</w:t>
      </w:r>
      <w:bookmarkStart w:id="287" w:name="_Toc12970"/>
    </w:p>
    <w:p>
      <w:pPr>
        <w:keepNext w:val="0"/>
        <w:keepLines w:val="0"/>
        <w:pageBreakBefore w:val="0"/>
        <w:widowControl/>
        <w:kinsoku/>
        <w:wordWrap/>
        <w:overflowPunct/>
        <w:topLinePunct w:val="0"/>
        <w:autoSpaceDE w:val="0"/>
        <w:autoSpaceDN w:val="0"/>
        <w:bidi w:val="0"/>
        <w:adjustRightInd w:val="0"/>
        <w:snapToGrid/>
        <w:spacing w:line="360" w:lineRule="auto"/>
        <w:ind w:left="0" w:leftChars="0" w:right="0" w:rightChars="0" w:firstLine="0" w:firstLineChars="0"/>
        <w:jc w:val="both"/>
        <w:textAlignment w:val="auto"/>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lang w:val="en-US" w:eastAsia="zh-CN"/>
        </w:rPr>
        <w:t>．ZWIN Si</w:t>
      </w:r>
      <w:r>
        <w:rPr>
          <w:rFonts w:hint="eastAsia" w:asciiTheme="minorEastAsia" w:hAnsiTheme="minorEastAsia" w:eastAsiaTheme="minorEastAsia" w:cstheme="minorEastAsia"/>
          <w:b/>
          <w:bCs/>
          <w:sz w:val="32"/>
          <w:szCs w:val="32"/>
        </w:rPr>
        <w:t>te</w:t>
      </w:r>
      <w:r>
        <w:rPr>
          <w:rFonts w:hint="eastAsia" w:asciiTheme="minorEastAsia" w:hAnsiTheme="minorEastAsia" w:eastAsiaTheme="minorEastAsia" w:cstheme="minorEastAsia"/>
          <w:b/>
          <w:bCs/>
          <w:sz w:val="32"/>
          <w:szCs w:val="32"/>
          <w:lang w:val="en-US" w:eastAsia="zh-CN"/>
        </w:rPr>
        <w:t>06</w:t>
      </w:r>
      <w:r>
        <w:rPr>
          <w:rFonts w:hint="eastAsia" w:asciiTheme="minorEastAsia" w:hAnsiTheme="minorEastAsia" w:eastAsiaTheme="minorEastAsia" w:cstheme="minorEastAsia"/>
          <w:b/>
          <w:bCs/>
          <w:sz w:val="32"/>
          <w:szCs w:val="32"/>
        </w:rPr>
        <w:t>固定方式变更安装注意事项</w:t>
      </w:r>
      <w:bookmarkEnd w:id="287"/>
    </w:p>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目前</w:t>
      </w:r>
      <w:r>
        <w:rPr>
          <w:rFonts w:hint="eastAsia" w:asciiTheme="minorEastAsia" w:hAnsiTheme="minorEastAsia" w:eastAsiaTheme="minorEastAsia" w:cstheme="minorEastAsia"/>
          <w:lang w:val="en-US" w:eastAsia="zh-CN"/>
        </w:rPr>
        <w:t xml:space="preserve">ZWIN </w:t>
      </w:r>
      <w:r>
        <w:rPr>
          <w:rFonts w:hint="eastAsia" w:asciiTheme="minorEastAsia" w:hAnsiTheme="minorEastAsia" w:eastAsiaTheme="minorEastAsia" w:cstheme="minorEastAsia"/>
        </w:rPr>
        <w:t>Site</w:t>
      </w:r>
      <w:r>
        <w:rPr>
          <w:rFonts w:hint="eastAsia" w:asciiTheme="minorEastAsia" w:hAnsiTheme="minorEastAsia" w:eastAsiaTheme="minorEastAsia" w:cstheme="minorEastAsia"/>
          <w:lang w:val="en-US" w:eastAsia="zh-CN"/>
        </w:rPr>
        <w:t>06</w:t>
      </w:r>
      <w:r>
        <w:rPr>
          <w:rFonts w:hint="eastAsia" w:asciiTheme="minorEastAsia" w:hAnsiTheme="minorEastAsia" w:eastAsiaTheme="minorEastAsia" w:cstheme="minorEastAsia"/>
        </w:rPr>
        <w:t>安装方式为壁挂式，详见下图。</w:t>
      </w:r>
    </w:p>
    <w:p>
      <w:pPr>
        <w:keepNext w:val="0"/>
        <w:keepLines w:val="0"/>
        <w:pageBreakBefore w:val="0"/>
        <w:kinsoku/>
        <w:wordWrap/>
        <w:overflowPunct/>
        <w:topLinePunct w:val="0"/>
        <w:autoSpaceDE/>
        <w:autoSpaceDN/>
        <w:bidi w:val="0"/>
        <w:adjustRightInd/>
        <w:snapToGrid/>
        <w:spacing w:line="360" w:lineRule="auto"/>
        <w:ind w:right="0" w:rightChars="0"/>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改为立式安装需要注意以下事项：</w:t>
      </w:r>
    </w:p>
    <w:p>
      <w:pPr>
        <w:pStyle w:val="24"/>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Chars="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安装高度最高点超出周边建筑物时需要考虑避雷；</w:t>
      </w:r>
    </w:p>
    <w:p>
      <w:pPr>
        <w:pStyle w:val="24"/>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Chars="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制作支架时考虑支架的强度，保证其安装稳固；</w:t>
      </w:r>
    </w:p>
    <w:p>
      <w:pPr>
        <w:pStyle w:val="24"/>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Chars="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采样口下方及周边务必保证其无遮挡；</w:t>
      </w:r>
    </w:p>
    <w:p>
      <w:pPr>
        <w:pStyle w:val="24"/>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Chars="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房顶安装时，要考虑固定稳固可靠；</w:t>
      </w:r>
    </w:p>
    <w:p>
      <w:pPr>
        <w:pStyle w:val="24"/>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Chars="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安装前请详细阅读说明书；</w:t>
      </w:r>
    </w:p>
    <w:p>
      <w:pPr>
        <w:pStyle w:val="24"/>
        <w:keepNext w:val="0"/>
        <w:keepLines w:val="0"/>
        <w:pageBreakBefore w:val="0"/>
        <w:widowControl w:val="0"/>
        <w:numPr>
          <w:ilvl w:val="0"/>
          <w:numId w:val="4"/>
        </w:numPr>
        <w:kinsoku/>
        <w:wordWrap/>
        <w:overflowPunct/>
        <w:topLinePunct w:val="0"/>
        <w:autoSpaceDE/>
        <w:autoSpaceDN/>
        <w:bidi w:val="0"/>
        <w:adjustRightInd/>
        <w:snapToGrid/>
        <w:spacing w:line="360" w:lineRule="auto"/>
        <w:ind w:right="0" w:rightChars="0" w:firstLineChars="0"/>
        <w:jc w:val="both"/>
        <w:textAlignment w:val="auto"/>
        <w:outlineLvl w:val="9"/>
        <w:rPr>
          <w:rFonts w:hint="eastAsia" w:asciiTheme="minorEastAsia" w:hAnsiTheme="minorEastAsia" w:eastAsiaTheme="minorEastAsia" w:cstheme="minorEastAsia"/>
        </w:rPr>
      </w:pPr>
      <w:r>
        <w:rPr>
          <w:rFonts w:hint="eastAsia" w:asciiTheme="minorEastAsia" w:hAnsiTheme="minorEastAsia" w:eastAsiaTheme="minorEastAsia" w:cstheme="minorEastAsia"/>
        </w:rPr>
        <w:t>安装完成进行通信和气体测量调试。</w:t>
      </w:r>
    </w:p>
    <w:p>
      <w:pPr>
        <w:numPr>
          <w:ilvl w:val="0"/>
          <w:numId w:val="0"/>
        </w:numPr>
        <w:rPr>
          <w:rFonts w:hint="eastAsia"/>
          <w:b/>
          <w:bCs/>
          <w:sz w:val="36"/>
          <w:szCs w:val="36"/>
          <w:lang w:val="en-US" w:eastAsia="zh-CN"/>
        </w:rPr>
      </w:pPr>
    </w:p>
    <w:p>
      <w:pPr>
        <w:numPr>
          <w:ilvl w:val="0"/>
          <w:numId w:val="5"/>
        </w:numPr>
        <w:rPr>
          <w:rFonts w:hint="eastAsia"/>
          <w:b/>
          <w:bCs/>
          <w:sz w:val="36"/>
          <w:szCs w:val="36"/>
          <w:lang w:val="en-US" w:eastAsia="zh-CN"/>
        </w:rPr>
      </w:pPr>
      <w:r>
        <w:rPr>
          <w:rFonts w:hint="default"/>
          <w:b/>
          <w:bCs/>
          <w:sz w:val="36"/>
          <w:szCs w:val="36"/>
          <w:lang w:val="en-US" w:eastAsia="zh-CN"/>
        </w:rPr>
        <w:t>VOC</w:t>
      </w:r>
      <w:r>
        <w:rPr>
          <w:rFonts w:hint="default"/>
          <w:b/>
          <w:bCs/>
          <w:sz w:val="36"/>
          <w:szCs w:val="36"/>
          <w:vertAlign w:val="subscript"/>
          <w:lang w:val="en-US" w:eastAsia="zh-CN"/>
        </w:rPr>
        <w:t>S</w:t>
      </w:r>
      <w:r>
        <w:rPr>
          <w:rFonts w:hint="default"/>
          <w:b/>
          <w:bCs/>
          <w:sz w:val="36"/>
          <w:szCs w:val="36"/>
          <w:lang w:val="en-US" w:eastAsia="zh-CN"/>
        </w:rPr>
        <w:t>在线监测系统</w:t>
      </w:r>
      <w:r>
        <w:rPr>
          <w:rFonts w:hint="eastAsia"/>
          <w:b/>
          <w:bCs/>
          <w:sz w:val="36"/>
          <w:szCs w:val="36"/>
          <w:lang w:val="en-US" w:eastAsia="zh-CN"/>
        </w:rPr>
        <w:t>(FID)主要参数</w:t>
      </w:r>
    </w:p>
    <w:p>
      <w:pPr>
        <w:numPr>
          <w:ilvl w:val="0"/>
          <w:numId w:val="0"/>
        </w:numPr>
        <w:rPr>
          <w:rFonts w:hint="eastAsia"/>
          <w:b/>
          <w:bCs/>
          <w:sz w:val="36"/>
          <w:szCs w:val="36"/>
          <w:lang w:val="en-US" w:eastAsia="zh-CN"/>
        </w:rPr>
      </w:pPr>
    </w:p>
    <w:tbl>
      <w:tblPr>
        <w:tblStyle w:val="21"/>
        <w:tblW w:w="833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37"/>
        <w:gridCol w:w="1228"/>
        <w:gridCol w:w="1679"/>
        <w:gridCol w:w="737"/>
        <w:gridCol w:w="1156"/>
        <w:gridCol w:w="1569"/>
        <w:gridCol w:w="12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序号</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设备名称</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规格型号</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单位</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数量</w:t>
            </w:r>
          </w:p>
        </w:tc>
        <w:tc>
          <w:tcPr>
            <w:tcW w:w="1569"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总价（元）</w:t>
            </w:r>
          </w:p>
        </w:tc>
        <w:tc>
          <w:tcPr>
            <w:tcW w:w="1230" w:type="dxa"/>
            <w:tcBorders>
              <w:top w:val="single" w:color="000000" w:sz="4" w:space="0"/>
              <w:left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12"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val="0"/>
                <w:bCs/>
                <w:i w:val="0"/>
                <w:color w:val="000000"/>
                <w:sz w:val="24"/>
                <w:szCs w:val="24"/>
                <w:u w:val="none"/>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val="0"/>
                <w:bCs/>
                <w:i w:val="0"/>
                <w:color w:val="000000"/>
                <w:sz w:val="24"/>
                <w:szCs w:val="24"/>
                <w:u w:val="none"/>
              </w:rPr>
            </w:pPr>
            <w:r>
              <w:rPr>
                <w:rFonts w:hint="eastAsia" w:asciiTheme="minorEastAsia" w:hAnsiTheme="minorEastAsia" w:eastAsiaTheme="minorEastAsia" w:cstheme="minorEastAsia"/>
                <w:b w:val="0"/>
                <w:bCs/>
                <w:i w:val="0"/>
                <w:color w:val="000000"/>
                <w:kern w:val="0"/>
                <w:sz w:val="24"/>
                <w:szCs w:val="24"/>
                <w:u w:val="none"/>
                <w:lang w:val="en-US" w:eastAsia="zh-CN" w:bidi="ar"/>
              </w:rPr>
              <w:t>VOC</w:t>
            </w:r>
            <w:r>
              <w:rPr>
                <w:rFonts w:hint="eastAsia" w:asciiTheme="minorEastAsia" w:hAnsiTheme="minorEastAsia" w:eastAsiaTheme="minorEastAsia" w:cstheme="minorEastAsia"/>
                <w:b w:val="0"/>
                <w:bCs/>
                <w:i w:val="0"/>
                <w:color w:val="000000"/>
                <w:kern w:val="0"/>
                <w:sz w:val="24"/>
                <w:szCs w:val="24"/>
                <w:u w:val="none"/>
                <w:vertAlign w:val="subscript"/>
                <w:lang w:val="en-US" w:eastAsia="zh-CN" w:bidi="ar"/>
              </w:rPr>
              <w:t>S</w:t>
            </w:r>
            <w:r>
              <w:rPr>
                <w:rFonts w:hint="eastAsia" w:asciiTheme="minorEastAsia" w:hAnsiTheme="minorEastAsia" w:eastAsiaTheme="minorEastAsia" w:cstheme="minorEastAsia"/>
                <w:b w:val="0"/>
                <w:bCs/>
                <w:i w:val="0"/>
                <w:color w:val="000000"/>
                <w:kern w:val="0"/>
                <w:sz w:val="24"/>
                <w:szCs w:val="24"/>
                <w:u w:val="none"/>
                <w:lang w:val="en-US" w:eastAsia="zh-CN" w:bidi="ar"/>
              </w:rPr>
              <w:t>在线监测系统(FID)</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p>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val="0"/>
                <w:bCs/>
                <w:i w:val="0"/>
                <w:color w:val="000000"/>
                <w:kern w:val="0"/>
                <w:sz w:val="24"/>
                <w:szCs w:val="24"/>
                <w:u w:val="none"/>
                <w:lang w:val="en-US" w:eastAsia="zh-CN" w:bidi="ar"/>
              </w:rPr>
            </w:pPr>
            <w:r>
              <w:rPr>
                <w:rFonts w:hint="eastAsia" w:asciiTheme="minorEastAsia" w:hAnsiTheme="minorEastAsia" w:eastAsiaTheme="minorEastAsia" w:cstheme="minorEastAsia"/>
                <w:b w:val="0"/>
                <w:bCs/>
                <w:i w:val="0"/>
                <w:color w:val="000000"/>
                <w:kern w:val="0"/>
                <w:sz w:val="24"/>
                <w:szCs w:val="24"/>
                <w:u w:val="none"/>
                <w:lang w:val="en-US" w:eastAsia="zh-CN" w:bidi="ar"/>
              </w:rPr>
              <w:t>ZWIIN-FVOC06</w:t>
            </w:r>
          </w:p>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val="0"/>
                <w:bCs/>
                <w:i w:val="0"/>
                <w:color w:val="000000"/>
                <w:sz w:val="24"/>
                <w:szCs w:val="24"/>
                <w:u w:val="none"/>
                <w:lang w:eastAsia="zh-CN"/>
              </w:rPr>
            </w:pPr>
            <w:r>
              <w:rPr>
                <w:rFonts w:hint="eastAsia" w:asciiTheme="minorEastAsia" w:hAnsiTheme="minorEastAsia" w:eastAsiaTheme="minorEastAsia" w:cstheme="minorEastAsia"/>
                <w:b w:val="0"/>
                <w:bCs/>
                <w:i w:val="0"/>
                <w:color w:val="000000"/>
                <w:sz w:val="24"/>
                <w:szCs w:val="24"/>
                <w:u w:val="none"/>
                <w:lang w:eastAsia="zh-CN"/>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sz w:val="24"/>
                <w:szCs w:val="24"/>
                <w:u w:val="none"/>
              </w:rPr>
            </w:pPr>
            <w:r>
              <w:rPr>
                <w:rFonts w:hint="eastAsia" w:asciiTheme="minorEastAsia" w:hAnsiTheme="minorEastAsia" w:eastAsiaTheme="minorEastAsia" w:cstheme="minorEastAsia"/>
                <w:b w:val="0"/>
                <w:bCs/>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val="0"/>
                <w:bCs/>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val="0"/>
                <w:bCs/>
                <w:i w:val="0"/>
                <w:color w:val="000000"/>
                <w:sz w:val="24"/>
                <w:szCs w:val="24"/>
                <w:u w:val="none"/>
              </w:rPr>
            </w:pPr>
            <w:r>
              <w:rPr>
                <w:rFonts w:hint="eastAsia" w:asciiTheme="minorEastAsia" w:hAnsiTheme="minorEastAsia" w:eastAsiaTheme="minorEastAsia" w:cstheme="minorEastAsia"/>
                <w:b w:val="0"/>
                <w:bCs/>
                <w:i w:val="0"/>
                <w:color w:val="000000"/>
                <w:kern w:val="0"/>
                <w:sz w:val="24"/>
                <w:szCs w:val="24"/>
                <w:u w:val="none"/>
                <w:lang w:val="en-US" w:eastAsia="zh-CN" w:bidi="ar"/>
              </w:rPr>
              <w:t>常规参数：非甲烷总烃、甲烷，温压流，湿度。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8336" w:type="dxa"/>
            <w:gridSpan w:val="7"/>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val="0"/>
                <w:bCs/>
                <w:i w:val="0"/>
                <w:color w:val="000000"/>
                <w:kern w:val="0"/>
                <w:sz w:val="24"/>
                <w:szCs w:val="24"/>
                <w:u w:val="none"/>
                <w:lang w:val="en-US" w:eastAsia="zh-CN" w:bidi="ar"/>
              </w:rPr>
              <w:t>ZWIIN-FOC06</w:t>
            </w:r>
            <w:r>
              <w:rPr>
                <w:rFonts w:hint="eastAsia" w:asciiTheme="minorEastAsia" w:hAnsiTheme="minorEastAsia" w:eastAsiaTheme="minorEastAsia" w:cstheme="minorEastAsia"/>
                <w:b/>
                <w:i w:val="0"/>
                <w:color w:val="000000"/>
                <w:kern w:val="0"/>
                <w:sz w:val="24"/>
                <w:szCs w:val="24"/>
                <w:u w:val="none"/>
                <w:lang w:val="en-US" w:eastAsia="zh-CN" w:bidi="ar"/>
              </w:rPr>
              <w:t>配置表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序号</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设备名称</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规格型号</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单位</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数量</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b/>
                <w:i w:val="0"/>
                <w:color w:val="000000"/>
                <w:kern w:val="0"/>
                <w:sz w:val="24"/>
                <w:szCs w:val="24"/>
                <w:u w:val="none"/>
                <w:lang w:val="en-US" w:eastAsia="zh-CN" w:bidi="ar"/>
              </w:rPr>
            </w:pPr>
            <w:r>
              <w:rPr>
                <w:rFonts w:hint="eastAsia" w:asciiTheme="minorEastAsia" w:hAnsiTheme="minorEastAsia" w:eastAsiaTheme="minorEastAsia" w:cstheme="minorEastAsia"/>
                <w:b/>
                <w:i w:val="0"/>
                <w:color w:val="000000"/>
                <w:kern w:val="0"/>
                <w:sz w:val="24"/>
                <w:szCs w:val="24"/>
                <w:u w:val="none"/>
                <w:lang w:val="en-US" w:eastAsia="zh-CN" w:bidi="ar"/>
              </w:rPr>
              <w:t>生产商</w:t>
            </w: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采样探头</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DS400</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lang w:eastAsia="zh-CN"/>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1228" w:type="dxa"/>
            <w:tcBorders>
              <w:top w:val="single" w:color="000000" w:sz="4" w:space="0"/>
              <w:left w:val="single" w:color="000000" w:sz="4" w:space="0"/>
              <w:bottom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反吹箱</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DS300</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w:t>
            </w:r>
          </w:p>
        </w:tc>
        <w:tc>
          <w:tcPr>
            <w:tcW w:w="1228" w:type="dxa"/>
            <w:tcBorders>
              <w:top w:val="single" w:color="000000" w:sz="4" w:space="0"/>
              <w:left w:val="single" w:color="000000" w:sz="4" w:space="0"/>
              <w:bottom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仪器控制柜</w:t>
            </w:r>
          </w:p>
        </w:tc>
        <w:tc>
          <w:tcPr>
            <w:tcW w:w="1679"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DS-250</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w:t>
            </w:r>
          </w:p>
        </w:tc>
        <w:tc>
          <w:tcPr>
            <w:tcW w:w="1228" w:type="dxa"/>
            <w:tcBorders>
              <w:top w:val="single" w:color="000000" w:sz="4" w:space="0"/>
              <w:left w:val="single" w:color="000000" w:sz="4" w:space="0"/>
              <w:bottom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气相色谱监测单元（在线）</w:t>
            </w:r>
          </w:p>
        </w:tc>
        <w:tc>
          <w:tcPr>
            <w:tcW w:w="1679" w:type="dxa"/>
            <w:tcBorders>
              <w:top w:val="single" w:color="000000" w:sz="4" w:space="0"/>
              <w:left w:val="single" w:color="000000" w:sz="4" w:space="0"/>
              <w:bottom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GC-3010A+连续进样系统</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5</w:t>
            </w:r>
          </w:p>
        </w:tc>
        <w:tc>
          <w:tcPr>
            <w:tcW w:w="1228" w:type="dxa"/>
            <w:tcBorders>
              <w:top w:val="single" w:color="000000" w:sz="4" w:space="0"/>
              <w:left w:val="single" w:color="000000" w:sz="4" w:space="0"/>
              <w:bottom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温度流速压力检测仪</w:t>
            </w:r>
          </w:p>
        </w:tc>
        <w:tc>
          <w:tcPr>
            <w:tcW w:w="1679"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PT1</w:t>
            </w:r>
          </w:p>
        </w:tc>
        <w:tc>
          <w:tcPr>
            <w:tcW w:w="737" w:type="dxa"/>
            <w:tcBorders>
              <w:top w:val="single" w:color="000000" w:sz="4" w:space="0"/>
              <w:left w:val="single" w:color="000000" w:sz="4" w:space="0"/>
              <w:bottom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6</w:t>
            </w:r>
          </w:p>
        </w:tc>
        <w:tc>
          <w:tcPr>
            <w:tcW w:w="1228" w:type="dxa"/>
            <w:tcBorders>
              <w:top w:val="single" w:color="000000" w:sz="4" w:space="0"/>
              <w:left w:val="single" w:color="000000" w:sz="4" w:space="0"/>
              <w:bottom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湿度监测仪</w:t>
            </w:r>
          </w:p>
        </w:tc>
        <w:tc>
          <w:tcPr>
            <w:tcW w:w="1679"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HSM-280</w:t>
            </w:r>
          </w:p>
        </w:tc>
        <w:tc>
          <w:tcPr>
            <w:tcW w:w="737" w:type="dxa"/>
            <w:tcBorders>
              <w:top w:val="single" w:color="000000" w:sz="4" w:space="0"/>
              <w:left w:val="single" w:color="000000" w:sz="4" w:space="0"/>
              <w:bottom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7</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预处理系统</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DS-240</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采样泵</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N86</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KNF/英国</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冷凝器</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EGC-200</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电磁阀</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AB41</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CKD/日本</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精密过滤器</w:t>
            </w:r>
          </w:p>
        </w:tc>
        <w:tc>
          <w:tcPr>
            <w:tcW w:w="167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采样管（带恒温伴热）</w:t>
            </w:r>
          </w:p>
        </w:tc>
        <w:tc>
          <w:tcPr>
            <w:tcW w:w="167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米</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30</w:t>
            </w: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Style w:val="30"/>
                <w:rFonts w:hint="eastAsia" w:asciiTheme="minorEastAsia" w:hAnsiTheme="minorEastAsia" w:eastAsiaTheme="minorEastAsia" w:cstheme="minorEastAsia"/>
                <w:sz w:val="24"/>
                <w:szCs w:val="24"/>
                <w:lang w:val="en-US" w:eastAsia="zh-CN" w:bidi="ar"/>
              </w:rPr>
              <w:t>采样管为</w:t>
            </w:r>
            <w:r>
              <w:rPr>
                <w:rFonts w:hint="eastAsia" w:asciiTheme="minorEastAsia" w:hAnsiTheme="minorEastAsia" w:eastAsiaTheme="minorEastAsia" w:cstheme="minorEastAsia"/>
                <w:i w:val="0"/>
                <w:color w:val="000000"/>
                <w:kern w:val="0"/>
                <w:sz w:val="24"/>
                <w:szCs w:val="24"/>
                <w:u w:val="none"/>
                <w:lang w:val="en-US" w:eastAsia="zh-CN" w:bidi="ar"/>
              </w:rPr>
              <w:t>Ø8</w:t>
            </w:r>
            <w:r>
              <w:rPr>
                <w:rStyle w:val="30"/>
                <w:rFonts w:hint="eastAsia" w:asciiTheme="minorEastAsia" w:hAnsiTheme="minorEastAsia" w:eastAsiaTheme="minorEastAsia" w:cstheme="minorEastAsia"/>
                <w:sz w:val="24"/>
                <w:szCs w:val="24"/>
                <w:lang w:val="en-US" w:eastAsia="zh-CN" w:bidi="ar"/>
              </w:rPr>
              <w:t>PTEF管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电缆信号线</w:t>
            </w:r>
          </w:p>
        </w:tc>
        <w:tc>
          <w:tcPr>
            <w:tcW w:w="167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米</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100</w:t>
            </w: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8</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系统运行监控系统</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DS200</w:t>
            </w:r>
          </w:p>
        </w:tc>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PLC</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S7-200</w:t>
            </w:r>
          </w:p>
        </w:tc>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西门子</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9</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系统反吹装置</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DS400</w:t>
            </w:r>
          </w:p>
        </w:tc>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电磁阀</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AB41</w:t>
            </w:r>
          </w:p>
        </w:tc>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CKD/日本</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10</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数据采集处理系统（DAS）</w:t>
            </w:r>
          </w:p>
        </w:tc>
        <w:tc>
          <w:tcPr>
            <w:tcW w:w="167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工控机</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PPC-YQ150B</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研强</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VOCs软件</w:t>
            </w:r>
          </w:p>
        </w:tc>
        <w:tc>
          <w:tcPr>
            <w:tcW w:w="1679" w:type="dxa"/>
            <w:tcBorders>
              <w:top w:val="single" w:color="000000" w:sz="4" w:space="0"/>
              <w:left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11</w:t>
            </w:r>
          </w:p>
        </w:tc>
        <w:tc>
          <w:tcPr>
            <w:tcW w:w="1228" w:type="dxa"/>
            <w:tcBorders>
              <w:top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辅助气源柜</w:t>
            </w:r>
          </w:p>
        </w:tc>
        <w:tc>
          <w:tcPr>
            <w:tcW w:w="1679" w:type="dxa"/>
            <w:tcBorders>
              <w:top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sz w:val="24"/>
                <w:szCs w:val="24"/>
                <w:u w:val="none"/>
                <w:lang w:eastAsia="zh-CN"/>
              </w:rPr>
              <w:t>智易时代</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空气发生器</w:t>
            </w:r>
          </w:p>
        </w:tc>
        <w:tc>
          <w:tcPr>
            <w:tcW w:w="167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台</w:t>
            </w:r>
          </w:p>
        </w:tc>
        <w:tc>
          <w:tcPr>
            <w:tcW w:w="115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全浦</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高纯氮气</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40L</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瓶</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氢气</w:t>
            </w:r>
          </w:p>
        </w:tc>
        <w:tc>
          <w:tcPr>
            <w:tcW w:w="167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台</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全浦</w:t>
            </w: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甲烷标气</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8L</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瓶</w:t>
            </w:r>
          </w:p>
        </w:tc>
        <w:tc>
          <w:tcPr>
            <w:tcW w:w="115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非甲烷总烃标气</w:t>
            </w:r>
          </w:p>
        </w:tc>
        <w:tc>
          <w:tcPr>
            <w:tcW w:w="1679"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top"/>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8L</w:t>
            </w:r>
          </w:p>
        </w:tc>
        <w:tc>
          <w:tcPr>
            <w:tcW w:w="73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瓶</w:t>
            </w:r>
          </w:p>
        </w:tc>
        <w:tc>
          <w:tcPr>
            <w:tcW w:w="115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2</w:t>
            </w:r>
          </w:p>
        </w:tc>
        <w:tc>
          <w:tcPr>
            <w:tcW w:w="1569"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12</w:t>
            </w: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报警系统</w:t>
            </w:r>
          </w:p>
        </w:tc>
        <w:tc>
          <w:tcPr>
            <w:tcW w:w="1679"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BY401</w:t>
            </w:r>
          </w:p>
        </w:tc>
        <w:tc>
          <w:tcPr>
            <w:tcW w:w="737"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套</w:t>
            </w:r>
          </w:p>
        </w:tc>
        <w:tc>
          <w:tcPr>
            <w:tcW w:w="1156" w:type="dxa"/>
            <w:vMerge w:val="restart"/>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color w:val="000000"/>
                <w:sz w:val="24"/>
                <w:szCs w:val="24"/>
                <w:u w:val="none"/>
              </w:rPr>
            </w:pPr>
            <w:r>
              <w:rPr>
                <w:rFonts w:hint="eastAsia" w:asciiTheme="minorEastAsia" w:hAnsiTheme="minorEastAsia" w:eastAsiaTheme="minorEastAsia" w:cstheme="minorEastAsia"/>
                <w:i w:val="0"/>
                <w:color w:val="000000"/>
                <w:kern w:val="0"/>
                <w:sz w:val="24"/>
                <w:szCs w:val="24"/>
                <w:u w:val="none"/>
                <w:lang w:val="en-US" w:eastAsia="zh-CN" w:bidi="ar"/>
              </w:rPr>
              <w:t>1</w:t>
            </w:r>
          </w:p>
        </w:tc>
        <w:tc>
          <w:tcPr>
            <w:tcW w:w="1569" w:type="dxa"/>
            <w:vMerge w:val="restart"/>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电子气压阀</w:t>
            </w:r>
          </w:p>
        </w:tc>
        <w:tc>
          <w:tcPr>
            <w:tcW w:w="16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8" w:hRule="atLeast"/>
        </w:trPr>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28"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ind w:left="0" w:leftChars="0" w:firstLine="0" w:firstLineChars="0"/>
              <w:jc w:val="center"/>
              <w:textAlignment w:val="center"/>
              <w:rPr>
                <w:rFonts w:hint="eastAsia" w:asciiTheme="minorEastAsia" w:hAnsiTheme="minorEastAsia" w:eastAsiaTheme="minorEastAsia" w:cstheme="minorEastAsia"/>
                <w:i w:val="0"/>
                <w:color w:val="000000"/>
                <w:kern w:val="0"/>
                <w:sz w:val="24"/>
                <w:szCs w:val="24"/>
                <w:u w:val="none"/>
                <w:lang w:val="en-US" w:eastAsia="zh-CN" w:bidi="ar"/>
              </w:rPr>
            </w:pPr>
            <w:r>
              <w:rPr>
                <w:rFonts w:hint="eastAsia" w:asciiTheme="minorEastAsia" w:hAnsiTheme="minorEastAsia" w:eastAsiaTheme="minorEastAsia" w:cstheme="minorEastAsia"/>
                <w:i w:val="0"/>
                <w:color w:val="000000"/>
                <w:kern w:val="0"/>
                <w:sz w:val="24"/>
                <w:szCs w:val="24"/>
                <w:u w:val="none"/>
                <w:lang w:val="en-US" w:eastAsia="zh-CN" w:bidi="ar"/>
              </w:rPr>
              <w:t>电动排风扇</w:t>
            </w:r>
          </w:p>
        </w:tc>
        <w:tc>
          <w:tcPr>
            <w:tcW w:w="167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737"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156"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569"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c>
          <w:tcPr>
            <w:tcW w:w="123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Theme="minorEastAsia" w:hAnsiTheme="minorEastAsia" w:eastAsiaTheme="minorEastAsia" w:cstheme="minorEastAsia"/>
                <w:i w:val="0"/>
                <w:color w:val="000000"/>
                <w:sz w:val="24"/>
                <w:szCs w:val="24"/>
                <w:u w:val="none"/>
              </w:rPr>
            </w:pPr>
          </w:p>
        </w:tc>
      </w:tr>
    </w:tbl>
    <w:p>
      <w:pPr>
        <w:jc w:val="center"/>
        <w:rPr>
          <w:rFonts w:hint="eastAsia"/>
          <w:lang w:val="en-US" w:eastAsia="zh-CN"/>
        </w:rPr>
      </w:pPr>
    </w:p>
    <w:p>
      <w:pPr>
        <w:pStyle w:val="24"/>
        <w:pageBreakBefore w:val="0"/>
        <w:kinsoku/>
        <w:wordWrap/>
        <w:overflowPunct/>
        <w:topLinePunct w:val="0"/>
        <w:bidi w:val="0"/>
        <w:snapToGrid/>
        <w:spacing w:line="360" w:lineRule="auto"/>
        <w:ind w:left="720" w:right="0" w:rightChars="0" w:firstLine="0" w:firstLineChars="0"/>
        <w:textAlignment w:val="auto"/>
        <w:rPr>
          <w:rFonts w:ascii="楷体_GB2312" w:eastAsia="楷体_GB2312"/>
        </w:rPr>
      </w:pPr>
    </w:p>
    <w:p>
      <w:pPr>
        <w:pStyle w:val="24"/>
        <w:pageBreakBefore w:val="0"/>
        <w:kinsoku/>
        <w:wordWrap/>
        <w:overflowPunct/>
        <w:topLinePunct w:val="0"/>
        <w:bidi w:val="0"/>
        <w:snapToGrid/>
        <w:spacing w:line="360" w:lineRule="auto"/>
        <w:ind w:left="720" w:right="0" w:rightChars="0" w:firstLine="0" w:firstLineChars="0"/>
        <w:textAlignment w:val="auto"/>
        <w:rPr>
          <w:rFonts w:ascii="楷体_GB2312" w:eastAsia="楷体_GB2312"/>
        </w:rPr>
      </w:pPr>
    </w:p>
    <w:sectPr>
      <w:footerReference r:id="rId7" w:type="default"/>
      <w:pgSz w:w="12240" w:h="15840"/>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Calibri Light">
    <w:altName w:val="Calibri"/>
    <w:panose1 w:val="020F0302020204030204"/>
    <w:charset w:val="00"/>
    <w:family w:val="swiss"/>
    <w:pitch w:val="default"/>
    <w:sig w:usb0="00000000" w:usb1="00000000" w:usb2="00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宋体"/>
    <w:panose1 w:val="00000000000000000000"/>
    <w:charset w:val="86"/>
    <w:family w:val="auto"/>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楷体_GB2312">
    <w:altName w:val="楷体"/>
    <w:panose1 w:val="00000000000000000000"/>
    <w:charset w:val="00"/>
    <w:family w:val="auto"/>
    <w:pitch w:val="default"/>
    <w:sig w:usb0="00000000" w:usb1="00000000" w:usb2="00000000" w:usb3="00000000" w:csb0="0000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新魏">
    <w:panose1 w:val="02010800040101010101"/>
    <w:charset w:val="86"/>
    <w:family w:val="auto"/>
    <w:pitch w:val="default"/>
    <w:sig w:usb0="00000001" w:usb1="080F0000" w:usb2="00000000" w:usb3="00000000" w:csb0="00040000" w:csb1="0000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幼圆">
    <w:panose1 w:val="02010509060101010101"/>
    <w:charset w:val="86"/>
    <w:family w:val="auto"/>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隶书">
    <w:panose1 w:val="02010509060101010101"/>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等线 Light">
    <w:altName w:val="宋体"/>
    <w:panose1 w:val="00000000000000000000"/>
    <w:charset w:val="86"/>
    <w:family w:val="auto"/>
    <w:pitch w:val="default"/>
    <w:sig w:usb0="00000000" w:usb1="00000000" w:usb2="00000016" w:usb3="00000000" w:csb0="0004000F" w:csb1="00000000"/>
  </w:font>
  <w:font w:name="Wingdings">
    <w:panose1 w:val="05000000000000000000"/>
    <w:charset w:val="00"/>
    <w:family w:val="auto"/>
    <w:pitch w:val="default"/>
    <w:sig w:usb0="00000000" w:usb1="00000000" w:usb2="00000000" w:usb3="00000000" w:csb0="80000000" w:csb1="00000000"/>
  </w:font>
  <w:font w:name="方正兰亭超细黑简体">
    <w:panose1 w:val="02000000000000000000"/>
    <w:charset w:val="86"/>
    <w:family w:val="auto"/>
    <w:pitch w:val="default"/>
    <w:sig w:usb0="00000001" w:usb1="08000000" w:usb2="00000000" w:usb3="00000000" w:csb0="00040000" w:csb1="00000000"/>
  </w:font>
  <w:font w:name="等线">
    <w:altName w:val="宋体"/>
    <w:panose1 w:val="00000000000000000000"/>
    <w:charset w:val="86"/>
    <w:family w:val="auto"/>
    <w:pitch w:val="default"/>
    <w:sig w:usb0="00000000" w:usb1="00000000" w:usb2="00000016" w:usb3="00000000" w:csb0="0004000F" w:csb1="00000000"/>
  </w:font>
  <w:font w:name="Segoe Print">
    <w:panose1 w:val="02000600000000000000"/>
    <w:charset w:val="00"/>
    <w:family w:val="auto"/>
    <w:pitch w:val="default"/>
    <w:sig w:usb0="0000028F" w:usb1="00000000" w:usb2="00000000" w:usb3="00000000" w:csb0="2000009F" w:csb1="47010000"/>
  </w:font>
  <w:font w:name="等线">
    <w:altName w:val="Segoe Print"/>
    <w:panose1 w:val="00000000000000000000"/>
    <w:charset w:val="00"/>
    <w:family w:val="auto"/>
    <w:pitch w:val="default"/>
    <w:sig w:usb0="00000000" w:usb1="00000000" w:usb2="00000000" w:usb3="00000000" w:csb0="00000000" w:csb1="00000000"/>
  </w:font>
  <w:font w:name="Helvetica Neue">
    <w:altName w:val="Segoe Print"/>
    <w:panose1 w:val="00000000000000000000"/>
    <w:charset w:val="00"/>
    <w:family w:val="auto"/>
    <w:pitch w:val="default"/>
    <w:sig w:usb0="00000000" w:usb1="00000000" w:usb2="00000000" w:usb3="00000000" w:csb0="00000000" w:csb1="00000000"/>
  </w:font>
  <w:font w:name="Arial Bold">
    <w:altName w:val="Arial"/>
    <w:panose1 w:val="00000000000000000000"/>
    <w:charset w:val="00"/>
    <w:family w:val="auto"/>
    <w:pitch w:val="default"/>
    <w:sig w:usb0="00000000" w:usb1="00000000" w:usb2="00000000" w:usb3="00000000" w:csb0="0000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spacing w:line="360" w:lineRule="auto"/>
      <w:ind w:firstLine="0" w:firstLineChars="0"/>
      <w:jc w:val="center"/>
      <w:rPr>
        <w:rFonts w:hint="eastAsia"/>
        <w:sz w:val="18"/>
      </w:rPr>
    </w:pPr>
    <w:r>
      <w:rPr>
        <w:sz w:val="18"/>
      </w:rPr>
      <mc:AlternateContent>
        <mc:Choice Requires="wps">
          <w:drawing>
            <wp:anchor distT="0" distB="0" distL="114300" distR="114300" simplePos="0" relativeHeight="254076928" behindDoc="0" locked="0" layoutInCell="1" allowOverlap="1">
              <wp:simplePos x="0" y="0"/>
              <wp:positionH relativeFrom="margin">
                <wp:posOffset>2682240</wp:posOffset>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1.2pt;margin-top:0pt;height:144pt;width:144pt;mso-position-horizontal-relative:margin;mso-wrap-style:none;z-index:254076928;mso-width-relative:page;mso-height-relative:page;" filled="f" stroked="f" coordsize="21600,21600" o:gfxdata="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tnXUtQAAAAIAQAADwAAAAAAAAAB&#10;ACAAAAAiAAAAZHJzL2Rvd25yZXYueG1sUEsBAhQAFAAAAAgAh07iQNs2DWsUAgAAFQQAAA4AAAAA&#10;AAAAAQAgAAAAIwEAAGRycy9lMm9Eb2MueG1sUEsFBgAAAAAGAAYAWQEAAKkFAAAAAA==&#10;">
              <v:fill on="f" focussize="0,0"/>
              <v:stroke on="f" weight="0.5pt"/>
              <v:imagedata o:title=""/>
              <o:lock v:ext="edit" aspectratio="f"/>
              <v:textbox inset="0mm,0mm,0mm,0mm" style="mso-fit-shape-to-text:t;">
                <w:txbxContent>
                  <w:p>
                    <w:pPr>
                      <w:snapToGrid w:val="0"/>
                      <w:rPr>
                        <w:rFonts w:hint="eastAsia" w:eastAsia="宋体"/>
                        <w:sz w:val="18"/>
                        <w:lang w:eastAsia="zh-CN"/>
                      </w:rPr>
                    </w:pPr>
                  </w:p>
                </w:txbxContent>
              </v:textbox>
            </v:shape>
          </w:pict>
        </mc:Fallback>
      </mc:AlternateContent>
    </w:r>
    <w:r>
      <w:rPr>
        <w:rFonts w:hint="eastAsia"/>
        <w:sz w:val="18"/>
        <w:lang w:eastAsia="zh-CN"/>
      </w:rPr>
      <w:t>地址：天津市高新区海泰创新基地</w:t>
    </w:r>
    <w:r>
      <w:rPr>
        <w:rFonts w:hint="eastAsia"/>
        <w:sz w:val="18"/>
        <w:lang w:val="en-US" w:eastAsia="zh-CN"/>
      </w:rPr>
      <w:t>B8-3-501  电话：022-23778895</w:t>
    </w:r>
  </w:p>
  <w:p>
    <w:pPr>
      <w:pStyle w:val="10"/>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spacing w:line="360" w:lineRule="auto"/>
      <w:ind w:firstLine="0" w:firstLineChars="0"/>
      <w:jc w:val="center"/>
      <w:rPr>
        <w:rFonts w:hint="eastAsia"/>
        <w:sz w:val="18"/>
      </w:rPr>
    </w:pPr>
    <w:r>
      <w:rPr>
        <w:sz w:val="18"/>
      </w:rPr>
      <mc:AlternateContent>
        <mc:Choice Requires="wps">
          <w:drawing>
            <wp:anchor distT="0" distB="0" distL="114300" distR="114300" simplePos="0" relativeHeight="256497664" behindDoc="0" locked="0" layoutInCell="1" allowOverlap="1">
              <wp:simplePos x="0" y="0"/>
              <wp:positionH relativeFrom="margin">
                <wp:posOffset>2682240</wp:posOffset>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1.2pt;margin-top:0pt;height:144pt;width:144pt;mso-position-horizontal-relative:margin;mso-wrap-style:none;z-index:256497664;mso-width-relative:page;mso-height-relative:page;" filled="f" stroked="f" coordsize="21600,21600" o:gfxdata="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K2ddS1AAAAAgBAAAPAAAAAAAAAAEA&#10;IAAAACIAAABkcnMvZG93bnJldi54bWxQSwECFAAUAAAACACHTuJABdxysBMCAAATBAAADgAAAAAA&#10;AAABACAAAAAjAQAAZHJzL2Uyb0RvYy54bWxQSwUGAAAAAAYABgBZAQAAqAUAAAAA&#10;">
              <v:fill on="f" focussize="0,0"/>
              <v:stroke on="f" weight="0.5pt"/>
              <v:imagedata o:title=""/>
              <o:lock v:ext="edit" aspectratio="f"/>
              <v:textbox inset="0mm,0mm,0mm,0mm" style="mso-fit-shape-to-text:t;">
                <w:txbxContent>
                  <w:p>
                    <w:pPr>
                      <w:snapToGrid w:val="0"/>
                      <w:rPr>
                        <w:rFonts w:hint="eastAsia" w:eastAsia="宋体"/>
                        <w:sz w:val="18"/>
                        <w:lang w:eastAsia="zh-CN"/>
                      </w:rPr>
                    </w:pPr>
                  </w:p>
                </w:txbxContent>
              </v:textbox>
            </v:shape>
          </w:pict>
        </mc:Fallback>
      </mc:AlternateContent>
    </w:r>
    <w:r>
      <w:rPr>
        <w:rFonts w:hint="eastAsia"/>
        <w:sz w:val="18"/>
        <w:lang w:eastAsia="zh-CN"/>
      </w:rPr>
      <w:t>地址：天津市高新区海泰创新基地</w:t>
    </w:r>
    <w:r>
      <w:rPr>
        <w:rFonts w:hint="eastAsia"/>
        <w:sz w:val="18"/>
        <w:lang w:val="en-US" w:eastAsia="zh-CN"/>
      </w:rPr>
      <w:t>B8-3-501  电话：022-23778895</w:t>
    </w:r>
  </w:p>
  <w:p>
    <w:pPr>
      <w:pStyle w:val="10"/>
      <w:spacing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spacing w:line="360" w:lineRule="auto"/>
      <w:ind w:firstLine="0" w:firstLineChars="0"/>
      <w:jc w:val="center"/>
      <w:rPr>
        <w:rFonts w:hint="eastAsia"/>
        <w:sz w:val="18"/>
      </w:rPr>
    </w:pPr>
    <w:r>
      <w:rPr>
        <w:sz w:val="18"/>
      </w:rPr>
      <mc:AlternateContent>
        <mc:Choice Requires="wps">
          <w:drawing>
            <wp:anchor distT="0" distB="0" distL="114300" distR="114300" simplePos="0" relativeHeight="261342208"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613422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Aa1OYW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wGtTmFgIAABUEAAAOAAAAAAAA&#10;AAEAIAAAAB8BAABkcnMvZTJvRG9jLnhtbFBLBQYAAAAABgAGAFkBAACn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61339136" behindDoc="0" locked="0" layoutInCell="1" allowOverlap="1">
              <wp:simplePos x="0" y="0"/>
              <wp:positionH relativeFrom="margin">
                <wp:posOffset>2682240</wp:posOffset>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1.2pt;margin-top:0pt;height:144pt;width:144pt;mso-position-horizontal-relative:margin;mso-wrap-style:none;z-index:261339136;mso-width-relative:page;mso-height-relative:page;" filled="f" stroked="f" coordsize="21600,21600" o:gfxdata="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rZ11LUAAAACAEAAA8AAAAAAAAA&#10;AQAgAAAAIgAAAGRycy9kb3ducmV2LnhtbFBLAQIUABQAAAAIAIdO4kCb0gwvFQIAABMEAAAOAAAA&#10;AAAAAAEAIAAAACMBAABkcnMvZTJvRG9jLnhtbFBLBQYAAAAABgAGAFkBAACqBQAAAAA=&#10;">
              <v:fill on="f" focussize="0,0"/>
              <v:stroke on="f" weight="0.5pt"/>
              <v:imagedata o:title=""/>
              <o:lock v:ext="edit" aspectratio="f"/>
              <v:textbox inset="0mm,0mm,0mm,0mm" style="mso-fit-shape-to-text:t;">
                <w:txbxContent>
                  <w:p>
                    <w:pPr>
                      <w:snapToGrid w:val="0"/>
                      <w:rPr>
                        <w:rFonts w:hint="eastAsia" w:eastAsia="宋体"/>
                        <w:sz w:val="18"/>
                        <w:lang w:eastAsia="zh-CN"/>
                      </w:rPr>
                    </w:pPr>
                  </w:p>
                </w:txbxContent>
              </v:textbox>
            </v:shape>
          </w:pict>
        </mc:Fallback>
      </mc:AlternateContent>
    </w:r>
    <w:r>
      <w:rPr>
        <w:rFonts w:hint="eastAsia"/>
        <w:sz w:val="18"/>
        <w:lang w:eastAsia="zh-CN"/>
      </w:rPr>
      <w:t>地址：天津市高新区海泰创新基地</w:t>
    </w:r>
    <w:r>
      <w:rPr>
        <w:rFonts w:hint="eastAsia"/>
        <w:sz w:val="18"/>
        <w:lang w:val="en-US" w:eastAsia="zh-CN"/>
      </w:rPr>
      <w:t>B8-3-501  电话：022-23778895</w:t>
    </w:r>
  </w:p>
  <w:p>
    <w:pPr>
      <w:pStyle w:val="10"/>
      <w:spacing w:line="24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top w:val="single" w:color="auto" w:sz="4" w:space="0"/>
      </w:pBdr>
      <w:spacing w:line="360" w:lineRule="auto"/>
      <w:ind w:firstLine="0" w:firstLineChars="0"/>
      <w:jc w:val="center"/>
      <w:rPr>
        <w:rFonts w:hint="eastAsia"/>
        <w:sz w:val="18"/>
      </w:rPr>
    </w:pPr>
    <w:r>
      <w:rPr>
        <w:sz w:val="18"/>
      </w:rPr>
      <mc:AlternateContent>
        <mc:Choice Requires="wps">
          <w:drawing>
            <wp:anchor distT="0" distB="0" distL="114300" distR="114300" simplePos="0" relativeHeight="271028224" behindDoc="0" locked="0" layoutInCell="1" allowOverlap="1">
              <wp:simplePos x="0" y="0"/>
              <wp:positionH relativeFrom="margin">
                <wp:align>right</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71028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MiuI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NUyK4hQCAAAVBAAADgAAAAAAAAAB&#10;ACAAAAAfAQAAZHJzL2Uyb0RvYy54bWxQSwUGAAAAAAYABgBZAQAApQU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3</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71025152" behindDoc="0" locked="0" layoutInCell="1" allowOverlap="1">
              <wp:simplePos x="0" y="0"/>
              <wp:positionH relativeFrom="margin">
                <wp:posOffset>2682240</wp:posOffset>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1.2pt;margin-top:0pt;height:144pt;width:144pt;mso-position-horizontal-relative:margin;mso-wrap-style:none;z-index:271025152;mso-width-relative:page;mso-height-relative:page;" filled="f" stroked="f" coordsize="21600,21600" o:gfxdata="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rZ11LUAAAACAEAAA8AAAAAAAAA&#10;AQAgAAAAIgAAAGRycy9kb3ducmV2LnhtbFBLAQIUABQAAAAIAIdO4kB35B0NFQIAABUEAAAOAAAA&#10;AAAAAAEAIAAAACMBAABkcnMvZTJvRG9jLnhtbFBLBQYAAAAABgAGAFkBAACqBQAAAAA=&#10;">
              <v:fill on="f" focussize="0,0"/>
              <v:stroke on="f" weight="0.5pt"/>
              <v:imagedata o:title=""/>
              <o:lock v:ext="edit" aspectratio="f"/>
              <v:textbox inset="0mm,0mm,0mm,0mm" style="mso-fit-shape-to-text:t;">
                <w:txbxContent>
                  <w:p>
                    <w:pPr>
                      <w:snapToGrid w:val="0"/>
                      <w:rPr>
                        <w:rFonts w:hint="eastAsia" w:eastAsia="宋体"/>
                        <w:sz w:val="18"/>
                        <w:lang w:eastAsia="zh-CN"/>
                      </w:rPr>
                    </w:pPr>
                  </w:p>
                </w:txbxContent>
              </v:textbox>
            </v:shape>
          </w:pict>
        </mc:Fallback>
      </mc:AlternateContent>
    </w:r>
    <w:r>
      <w:rPr>
        <w:rFonts w:hint="eastAsia"/>
        <w:sz w:val="18"/>
        <w:lang w:eastAsia="zh-CN"/>
      </w:rPr>
      <w:t>地址：天津市高新区海泰创新基地</w:t>
    </w:r>
    <w:r>
      <w:rPr>
        <w:rFonts w:hint="eastAsia"/>
        <w:sz w:val="18"/>
        <w:lang w:val="en-US" w:eastAsia="zh-CN"/>
      </w:rPr>
      <w:t>B8-3-501  电话：022-23778895</w:t>
    </w:r>
  </w:p>
  <w:p>
    <w:pPr>
      <w:pStyle w:val="10"/>
      <w:spacing w:line="240" w:lineRule="auto"/>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single" w:color="auto" w:sz="4" w:space="1"/>
      </w:pBdr>
      <w:ind w:firstLine="0" w:firstLineChars="0"/>
      <w:jc w:val="both"/>
    </w:pPr>
    <w:r>
      <w:rPr>
        <w:sz w:val="18"/>
      </w:rPr>
      <mc:AlternateContent>
        <mc:Choice Requires="wps">
          <w:drawing>
            <wp:anchor distT="0" distB="0" distL="114300" distR="114300" simplePos="0" relativeHeight="2613432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613432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yQwk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yskMJEwIAABUEAAAOAAAAAAAAAAEA&#10;IAAAAB8BAABkcnMvZTJvRG9jLnhtbFBLBQYAAAAABgAGAFkBAACk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drawing>
        <wp:anchor distT="0" distB="0" distL="114300" distR="114300" simplePos="0" relativeHeight="251658240" behindDoc="1" locked="0" layoutInCell="1" allowOverlap="1">
          <wp:simplePos x="0" y="0"/>
          <wp:positionH relativeFrom="column">
            <wp:posOffset>4235450</wp:posOffset>
          </wp:positionH>
          <wp:positionV relativeFrom="paragraph">
            <wp:posOffset>-93980</wp:posOffset>
          </wp:positionV>
          <wp:extent cx="1247775" cy="333375"/>
          <wp:effectExtent l="0" t="0" r="9525" b="8890"/>
          <wp:wrapNone/>
          <wp:docPr id="7" name="图片 1" descr="C:\Users\mn\Desktop\未标题-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mn\Desktop\未标题-1.png"/>
                  <pic:cNvPicPr>
                    <a:picLocks noChangeAspect="1"/>
                  </pic:cNvPicPr>
                </pic:nvPicPr>
                <pic:blipFill>
                  <a:blip r:embed="rId1"/>
                  <a:stretch>
                    <a:fillRect/>
                  </a:stretch>
                </pic:blipFill>
                <pic:spPr>
                  <a:xfrm>
                    <a:off x="0" y="0"/>
                    <a:ext cx="1247775" cy="333375"/>
                  </a:xfrm>
                  <a:prstGeom prst="rect">
                    <a:avLst/>
                  </a:prstGeom>
                  <a:noFill/>
                  <a:ln w="9525">
                    <a:noFill/>
                  </a:ln>
                  <a:effectLst/>
                </pic:spPr>
              </pic:pic>
            </a:graphicData>
          </a:graphic>
        </wp:anchor>
      </w:drawing>
    </w:r>
    <w:r>
      <w:rPr>
        <w:rFonts w:hint="eastAsia" w:ascii="宋体" w:hAnsi="宋体" w:cs="宋体"/>
        <w:kern w:val="0"/>
        <w:szCs w:val="18"/>
      </w:rPr>
      <w:t xml:space="preserve">天津智易时代科技发展有限公司  </w:t>
    </w:r>
    <w:r>
      <w:rPr>
        <w:rFonts w:ascii="Arial" w:hAnsi="Arial" w:cs="Arial"/>
        <w:szCs w:val="18"/>
      </w:rPr>
      <w:t xml:space="preserve">Tianjin </w:t>
    </w:r>
    <w:r>
      <w:rPr>
        <w:rFonts w:hint="eastAsia" w:ascii="Arial" w:hAnsi="Arial" w:cs="Arial"/>
        <w:szCs w:val="18"/>
      </w:rPr>
      <w:t>Z</w:t>
    </w:r>
    <w:r>
      <w:rPr>
        <w:rFonts w:ascii="Arial" w:hAnsi="Arial" w:cs="Arial"/>
        <w:szCs w:val="18"/>
      </w:rPr>
      <w:t>winsoft Technology Co., Ltd.</w:t>
    </w:r>
    <w:r>
      <w:rPr>
        <w:rFonts w:hint="eastAsia" w:ascii="Arial" w:hAnsi="Arial" w:cs="Arial"/>
        <w:szCs w:val="18"/>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DE457A"/>
    <w:multiLevelType w:val="multilevel"/>
    <w:tmpl w:val="35DE457A"/>
    <w:lvl w:ilvl="0" w:tentative="0">
      <w:start w:val="1"/>
      <w:numFmt w:val="japaneseCounting"/>
      <w:lvlText w:val="第%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689E5A1"/>
    <w:multiLevelType w:val="singleLevel"/>
    <w:tmpl w:val="5689E5A1"/>
    <w:lvl w:ilvl="0" w:tentative="0">
      <w:start w:val="1"/>
      <w:numFmt w:val="decimal"/>
      <w:lvlText w:val="%1)"/>
      <w:lvlJc w:val="left"/>
      <w:pPr>
        <w:tabs>
          <w:tab w:val="left" w:pos="425"/>
        </w:tabs>
        <w:ind w:left="425" w:hanging="425"/>
      </w:pPr>
      <w:rPr>
        <w:rFonts w:hint="default"/>
      </w:rPr>
    </w:lvl>
  </w:abstractNum>
  <w:abstractNum w:abstractNumId="2">
    <w:nsid w:val="57A82AAD"/>
    <w:multiLevelType w:val="singleLevel"/>
    <w:tmpl w:val="57A82AAD"/>
    <w:lvl w:ilvl="0" w:tentative="0">
      <w:start w:val="1"/>
      <w:numFmt w:val="decimal"/>
      <w:suff w:val="nothing"/>
      <w:lvlText w:val="%1."/>
      <w:lvlJc w:val="left"/>
    </w:lvl>
  </w:abstractNum>
  <w:abstractNum w:abstractNumId="3">
    <w:nsid w:val="57AACCCD"/>
    <w:multiLevelType w:val="singleLevel"/>
    <w:tmpl w:val="57AACCCD"/>
    <w:lvl w:ilvl="0" w:tentative="0">
      <w:start w:val="1"/>
      <w:numFmt w:val="decimal"/>
      <w:suff w:val="nothing"/>
      <w:lvlText w:val="%1."/>
      <w:lvlJc w:val="left"/>
    </w:lvl>
  </w:abstractNum>
  <w:abstractNum w:abstractNumId="4">
    <w:nsid w:val="57AE93E6"/>
    <w:multiLevelType w:val="singleLevel"/>
    <w:tmpl w:val="57AE93E6"/>
    <w:lvl w:ilvl="0" w:tentative="0">
      <w:start w:val="4"/>
      <w:numFmt w:val="chineseCounting"/>
      <w:suff w:val="nothing"/>
      <w:lvlText w:val="（%1）"/>
      <w:lvlJc w:val="left"/>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44F"/>
    <w:rsid w:val="00197478"/>
    <w:rsid w:val="001A4B24"/>
    <w:rsid w:val="00260A8C"/>
    <w:rsid w:val="0055744F"/>
    <w:rsid w:val="005D73DB"/>
    <w:rsid w:val="007C22EC"/>
    <w:rsid w:val="00A8197B"/>
    <w:rsid w:val="00BA4CFD"/>
    <w:rsid w:val="00C555FE"/>
    <w:rsid w:val="00DD3973"/>
    <w:rsid w:val="00F44C33"/>
    <w:rsid w:val="00FE0186"/>
    <w:rsid w:val="07FC5C0E"/>
    <w:rsid w:val="0A226A8C"/>
    <w:rsid w:val="0A6E4777"/>
    <w:rsid w:val="0B40763B"/>
    <w:rsid w:val="116414F7"/>
    <w:rsid w:val="12CA0116"/>
    <w:rsid w:val="2114362E"/>
    <w:rsid w:val="222E6450"/>
    <w:rsid w:val="289D57E0"/>
    <w:rsid w:val="2C213B7B"/>
    <w:rsid w:val="3B23284E"/>
    <w:rsid w:val="3BAB1D72"/>
    <w:rsid w:val="3D003103"/>
    <w:rsid w:val="3F79068A"/>
    <w:rsid w:val="3FB3663D"/>
    <w:rsid w:val="447E2C26"/>
    <w:rsid w:val="44F42DE1"/>
    <w:rsid w:val="4F4978D8"/>
    <w:rsid w:val="54434F26"/>
    <w:rsid w:val="559D4394"/>
    <w:rsid w:val="57C16161"/>
    <w:rsid w:val="62504F76"/>
    <w:rsid w:val="6ADE4181"/>
    <w:rsid w:val="6BF054C2"/>
    <w:rsid w:val="6CAE0C88"/>
    <w:rsid w:val="759B780D"/>
    <w:rsid w:val="75E0733F"/>
    <w:rsid w:val="79995C7B"/>
    <w:rsid w:val="7B6D1467"/>
    <w:rsid w:val="7C683EE9"/>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9"/>
    <w:qFormat/>
    <w:uiPriority w:val="9"/>
    <w:pPr>
      <w:keepNext/>
      <w:keepLines/>
      <w:spacing w:line="579" w:lineRule="auto"/>
      <w:ind w:left="0" w:leftChars="0" w:right="0" w:rightChars="0" w:firstLine="0" w:firstLineChars="0"/>
      <w:jc w:val="left"/>
      <w:outlineLvl w:val="0"/>
    </w:pPr>
    <w:rPr>
      <w:rFonts w:ascii="Calibri" w:hAnsi="Calibri" w:eastAsia="宋体"/>
      <w:bCs/>
      <w:kern w:val="44"/>
      <w:sz w:val="36"/>
      <w:szCs w:val="44"/>
    </w:rPr>
  </w:style>
  <w:style w:type="paragraph" w:styleId="3">
    <w:name w:val="heading 2"/>
    <w:basedOn w:val="1"/>
    <w:next w:val="1"/>
    <w:link w:val="2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rFonts w:ascii="Calibri" w:hAnsi="Calibri" w:eastAsia="宋体"/>
      <w:sz w:val="30"/>
    </w:rPr>
  </w:style>
  <w:style w:type="character" w:default="1" w:styleId="19">
    <w:name w:val="Default Paragraph Font"/>
    <w:unhideWhenUsed/>
    <w:qFormat/>
    <w:uiPriority w:val="1"/>
  </w:style>
  <w:style w:type="table" w:default="1" w:styleId="21">
    <w:name w:val="Normal Table"/>
    <w:unhideWhenUsed/>
    <w:qFormat/>
    <w:uiPriority w:val="99"/>
    <w:tblPr>
      <w:tblLayout w:type="fixed"/>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style>
  <w:style w:type="paragraph" w:styleId="6">
    <w:name w:val="toc 5"/>
    <w:basedOn w:val="1"/>
    <w:next w:val="1"/>
    <w:unhideWhenUsed/>
    <w:qFormat/>
    <w:uiPriority w:val="39"/>
    <w:pPr>
      <w:ind w:left="1680" w:leftChars="800"/>
    </w:pPr>
  </w:style>
  <w:style w:type="paragraph" w:styleId="7">
    <w:name w:val="toc 3"/>
    <w:basedOn w:val="1"/>
    <w:next w:val="1"/>
    <w:unhideWhenUsed/>
    <w:qFormat/>
    <w:uiPriority w:val="39"/>
    <w:pPr>
      <w:ind w:left="840" w:leftChars="400"/>
    </w:pPr>
  </w:style>
  <w:style w:type="paragraph" w:styleId="8">
    <w:name w:val="toc 8"/>
    <w:basedOn w:val="1"/>
    <w:next w:val="1"/>
    <w:unhideWhenUsed/>
    <w:qFormat/>
    <w:uiPriority w:val="39"/>
    <w:pPr>
      <w:ind w:left="2940" w:leftChars="1400"/>
    </w:pPr>
  </w:style>
  <w:style w:type="paragraph" w:styleId="9">
    <w:name w:val="Balloon Text"/>
    <w:basedOn w:val="1"/>
    <w:link w:val="27"/>
    <w:unhideWhenUsed/>
    <w:qFormat/>
    <w:uiPriority w:val="99"/>
    <w:rPr>
      <w:sz w:val="18"/>
      <w:szCs w:val="18"/>
    </w:rPr>
  </w:style>
  <w:style w:type="paragraph" w:styleId="10">
    <w:name w:val="footer"/>
    <w:basedOn w:val="1"/>
    <w:link w:val="26"/>
    <w:unhideWhenUsed/>
    <w:qFormat/>
    <w:uiPriority w:val="99"/>
    <w:pPr>
      <w:tabs>
        <w:tab w:val="center" w:pos="4153"/>
        <w:tab w:val="right" w:pos="8306"/>
      </w:tabs>
      <w:snapToGrid w:val="0"/>
    </w:pPr>
    <w:rPr>
      <w:sz w:val="18"/>
      <w:szCs w:val="18"/>
    </w:rPr>
  </w:style>
  <w:style w:type="paragraph" w:styleId="11">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4"/>
    <w:basedOn w:val="1"/>
    <w:next w:val="1"/>
    <w:unhideWhenUsed/>
    <w:qFormat/>
    <w:uiPriority w:val="39"/>
    <w:pPr>
      <w:ind w:left="1260" w:leftChars="600"/>
    </w:pPr>
  </w:style>
  <w:style w:type="paragraph" w:styleId="14">
    <w:name w:val="toc 6"/>
    <w:basedOn w:val="1"/>
    <w:next w:val="1"/>
    <w:unhideWhenUsed/>
    <w:qFormat/>
    <w:uiPriority w:val="39"/>
    <w:pPr>
      <w:ind w:left="2100" w:leftChars="1000"/>
    </w:pPr>
  </w:style>
  <w:style w:type="paragraph" w:styleId="15">
    <w:name w:val="toc 2"/>
    <w:basedOn w:val="1"/>
    <w:next w:val="1"/>
    <w:unhideWhenUsed/>
    <w:qFormat/>
    <w:uiPriority w:val="39"/>
    <w:pPr>
      <w:ind w:left="420" w:leftChars="200"/>
    </w:pPr>
  </w:style>
  <w:style w:type="paragraph" w:styleId="16">
    <w:name w:val="toc 9"/>
    <w:basedOn w:val="1"/>
    <w:next w:val="1"/>
    <w:unhideWhenUsed/>
    <w:qFormat/>
    <w:uiPriority w:val="39"/>
    <w:pPr>
      <w:ind w:left="3360" w:leftChars="1600"/>
    </w:pPr>
  </w:style>
  <w:style w:type="paragraph" w:styleId="17">
    <w:name w:val="Normal (Web)"/>
    <w:basedOn w:val="1"/>
    <w:unhideWhenUsed/>
    <w:qFormat/>
    <w:uiPriority w:val="99"/>
    <w:rPr>
      <w:sz w:val="24"/>
    </w:rPr>
  </w:style>
  <w:style w:type="paragraph" w:styleId="18">
    <w:name w:val="Title"/>
    <w:basedOn w:val="1"/>
    <w:next w:val="1"/>
    <w:qFormat/>
    <w:uiPriority w:val="10"/>
    <w:pPr>
      <w:spacing w:before="240" w:after="60"/>
      <w:ind w:firstLine="0" w:firstLineChars="0"/>
      <w:jc w:val="center"/>
      <w:outlineLvl w:val="0"/>
    </w:pPr>
    <w:rPr>
      <w:rFonts w:ascii="Cambria" w:hAnsi="Cambria" w:eastAsia="黑体" w:cs="Times New Roman"/>
      <w:b/>
      <w:bCs/>
      <w:sz w:val="44"/>
      <w:szCs w:val="32"/>
    </w:rPr>
  </w:style>
  <w:style w:type="character" w:styleId="20">
    <w:name w:val="Hyperlink"/>
    <w:unhideWhenUsed/>
    <w:qFormat/>
    <w:uiPriority w:val="99"/>
    <w:rPr>
      <w:color w:val="0000FF"/>
      <w:u w:val="single"/>
    </w:rPr>
  </w:style>
  <w:style w:type="table" w:styleId="22">
    <w:name w:val="Table Grid"/>
    <w:basedOn w:val="2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23">
    <w:name w:val="标题 2 Char"/>
    <w:basedOn w:val="19"/>
    <w:link w:val="3"/>
    <w:qFormat/>
    <w:uiPriority w:val="9"/>
    <w:rPr>
      <w:rFonts w:asciiTheme="majorHAnsi" w:hAnsiTheme="majorHAnsi" w:eastAsiaTheme="majorEastAsia" w:cstheme="majorBidi"/>
      <w:b/>
      <w:bCs/>
      <w:sz w:val="32"/>
      <w:szCs w:val="32"/>
    </w:rPr>
  </w:style>
  <w:style w:type="paragraph" w:customStyle="1" w:styleId="24">
    <w:name w:val="列出段落1"/>
    <w:basedOn w:val="1"/>
    <w:qFormat/>
    <w:uiPriority w:val="34"/>
    <w:pPr>
      <w:ind w:firstLine="420" w:firstLineChars="200"/>
    </w:pPr>
  </w:style>
  <w:style w:type="character" w:customStyle="1" w:styleId="25">
    <w:name w:val="页眉 Char"/>
    <w:basedOn w:val="19"/>
    <w:link w:val="11"/>
    <w:semiHidden/>
    <w:qFormat/>
    <w:uiPriority w:val="99"/>
    <w:rPr>
      <w:rFonts w:ascii="宋体" w:hAnsi="宋体" w:eastAsia="宋体" w:cs="宋体"/>
      <w:sz w:val="18"/>
      <w:szCs w:val="18"/>
    </w:rPr>
  </w:style>
  <w:style w:type="character" w:customStyle="1" w:styleId="26">
    <w:name w:val="页脚 Char"/>
    <w:basedOn w:val="19"/>
    <w:link w:val="10"/>
    <w:semiHidden/>
    <w:qFormat/>
    <w:uiPriority w:val="99"/>
    <w:rPr>
      <w:rFonts w:ascii="宋体" w:hAnsi="宋体" w:eastAsia="宋体" w:cs="宋体"/>
      <w:sz w:val="18"/>
      <w:szCs w:val="18"/>
    </w:rPr>
  </w:style>
  <w:style w:type="character" w:customStyle="1" w:styleId="27">
    <w:name w:val="批注框文本 Char"/>
    <w:basedOn w:val="19"/>
    <w:link w:val="9"/>
    <w:semiHidden/>
    <w:qFormat/>
    <w:uiPriority w:val="99"/>
    <w:rPr>
      <w:rFonts w:ascii="宋体" w:hAnsi="宋体" w:eastAsia="宋体" w:cs="宋体"/>
      <w:sz w:val="18"/>
      <w:szCs w:val="18"/>
    </w:rPr>
  </w:style>
  <w:style w:type="paragraph" w:customStyle="1" w:styleId="28">
    <w:name w:val="List Paragraph"/>
    <w:basedOn w:val="1"/>
    <w:unhideWhenUsed/>
    <w:qFormat/>
    <w:uiPriority w:val="99"/>
    <w:pPr>
      <w:ind w:firstLine="420" w:firstLineChars="200"/>
    </w:pPr>
  </w:style>
  <w:style w:type="character" w:customStyle="1" w:styleId="29">
    <w:name w:val="标题 1 Char"/>
    <w:link w:val="2"/>
    <w:qFormat/>
    <w:uiPriority w:val="0"/>
    <w:rPr>
      <w:rFonts w:ascii="Calibri" w:hAnsi="Calibri" w:eastAsia="宋体"/>
      <w:bCs/>
      <w:kern w:val="44"/>
      <w:sz w:val="36"/>
      <w:szCs w:val="44"/>
    </w:rPr>
  </w:style>
  <w:style w:type="character" w:customStyle="1" w:styleId="30">
    <w:name w:val="font51"/>
    <w:basedOn w:val="1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6</Pages>
  <Words>327</Words>
  <Characters>1870</Characters>
  <Lines>15</Lines>
  <Paragraphs>4</Paragraphs>
  <ScaleCrop>false</ScaleCrop>
  <LinksUpToDate>false</LinksUpToDate>
  <CharactersWithSpaces>2193</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2016-08-05T04:00:00Z</dcterms:created>
  <dc:creator>e828555</dc:creator>
  <cp:lastModifiedBy>Administrator</cp:lastModifiedBy>
  <dcterms:modified xsi:type="dcterms:W3CDTF">2016-08-24T10:53:15Z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