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18" w:rsidRPr="001B1772" w:rsidRDefault="003F4818" w:rsidP="003F4818">
      <w:pPr>
        <w:rPr>
          <w:rFonts w:ascii="方正兰亭超细黑简体" w:eastAsia="方正兰亭超细黑简体" w:hAnsi="黑体" w:cs="方正中等线_GBK Regular" w:hint="eastAsia"/>
          <w:color w:val="FF0000"/>
          <w:kern w:val="0"/>
          <w:szCs w:val="21"/>
          <w:lang w:val="zh-CN"/>
        </w:rPr>
      </w:pPr>
      <w:r w:rsidRPr="001B1772">
        <w:rPr>
          <w:rFonts w:ascii="方正兰亭细黑_GBK" w:eastAsia="方正兰亭细黑_GBK" w:hAnsi="黑体" w:cs="方正中等线_GBK Regular" w:hint="eastAsia"/>
          <w:color w:val="FF0000"/>
          <w:kern w:val="0"/>
          <w:sz w:val="36"/>
          <w:szCs w:val="36"/>
          <w:lang w:val="zh-CN"/>
        </w:rPr>
        <w:t>选择凝聚心智的产品</w:t>
      </w:r>
    </w:p>
    <w:p w:rsidR="003F4818" w:rsidRPr="001B1772" w:rsidRDefault="003F4818" w:rsidP="00242AC8">
      <w:pPr>
        <w:tabs>
          <w:tab w:val="left" w:pos="5520"/>
        </w:tabs>
        <w:rPr>
          <w:rFonts w:asciiTheme="minorEastAsia" w:hAnsiTheme="minorEastAsia" w:hint="eastAsia"/>
          <w:szCs w:val="21"/>
        </w:rPr>
      </w:pPr>
      <w:r w:rsidRPr="001B1772">
        <w:rPr>
          <w:rFonts w:asciiTheme="minorEastAsia" w:hAnsiTheme="minorEastAsia" w:hint="eastAsia"/>
          <w:szCs w:val="21"/>
        </w:rPr>
        <w:t>TD-50热解析仪</w:t>
      </w:r>
      <w:r w:rsidR="00242AC8" w:rsidRPr="001B1772">
        <w:rPr>
          <w:rFonts w:asciiTheme="minorEastAsia" w:hAnsiTheme="minorEastAsia" w:hint="eastAsia"/>
          <w:szCs w:val="21"/>
        </w:rPr>
        <w:tab/>
      </w:r>
    </w:p>
    <w:p w:rsidR="00C06435" w:rsidRPr="001B1772" w:rsidRDefault="00C06435" w:rsidP="003F4818">
      <w:pPr>
        <w:rPr>
          <w:rFonts w:asciiTheme="minorEastAsia" w:hAnsiTheme="minorEastAsia" w:hint="eastAsia"/>
          <w:szCs w:val="21"/>
        </w:rPr>
      </w:pPr>
      <w:r w:rsidRPr="001B1772">
        <w:rPr>
          <w:rFonts w:asciiTheme="minorEastAsia" w:hAnsiTheme="minorEastAsia" w:hint="eastAsia"/>
          <w:noProof/>
          <w:szCs w:val="21"/>
        </w:rPr>
        <w:drawing>
          <wp:inline distT="0" distB="0" distL="0" distR="0">
            <wp:extent cx="1381125" cy="1362075"/>
            <wp:effectExtent l="19050" t="0" r="9525" b="0"/>
            <wp:docPr id="2" name="图片 9" descr="C:\Users\丽红\AppData\Local\Microsoft\Windows\INetCache\Content.Word\截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丽红\AppData\Local\Microsoft\Windows\INetCache\Content.Word\截热.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362075"/>
                    </a:xfrm>
                    <a:prstGeom prst="rect">
                      <a:avLst/>
                    </a:prstGeom>
                    <a:noFill/>
                    <a:ln>
                      <a:noFill/>
                    </a:ln>
                  </pic:spPr>
                </pic:pic>
              </a:graphicData>
            </a:graphic>
          </wp:inline>
        </w:drawing>
      </w:r>
    </w:p>
    <w:p w:rsidR="00C06435" w:rsidRPr="001B1772" w:rsidRDefault="00C06435" w:rsidP="003F4818">
      <w:pPr>
        <w:rPr>
          <w:rFonts w:asciiTheme="minorEastAsia" w:hAnsiTheme="minorEastAsia" w:hint="eastAsia"/>
          <w:szCs w:val="21"/>
        </w:rPr>
      </w:pPr>
    </w:p>
    <w:p w:rsidR="003F4818" w:rsidRPr="001B1772" w:rsidRDefault="00C06435" w:rsidP="003F4818">
      <w:pPr>
        <w:rPr>
          <w:rFonts w:asciiTheme="minorEastAsia" w:hAnsiTheme="minorEastAsia" w:hint="eastAsia"/>
          <w:szCs w:val="21"/>
        </w:rPr>
      </w:pPr>
      <w:r w:rsidRPr="001B1772">
        <w:rPr>
          <w:rFonts w:asciiTheme="minorEastAsia" w:hAnsiTheme="minorEastAsia" w:hint="eastAsia"/>
          <w:szCs w:val="21"/>
        </w:rPr>
        <w:t>性能</w:t>
      </w:r>
      <w:r w:rsidR="003F4818" w:rsidRPr="001B1772">
        <w:rPr>
          <w:rFonts w:asciiTheme="minorEastAsia" w:hAnsiTheme="minorEastAsia" w:hint="eastAsia"/>
          <w:szCs w:val="21"/>
        </w:rPr>
        <w:t>特点：</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MS Mincho" w:hAnsiTheme="minorEastAsia" w:cs="MS Mincho" w:hint="eastAsia"/>
          <w:sz w:val="21"/>
          <w:szCs w:val="21"/>
        </w:rPr>
        <w:t>￮</w:t>
      </w:r>
      <w:r w:rsidRPr="001B1772">
        <w:rPr>
          <w:rFonts w:asciiTheme="minorEastAsia" w:eastAsiaTheme="minorEastAsia" w:hAnsiTheme="minorEastAsia" w:hint="eastAsia"/>
          <w:sz w:val="21"/>
          <w:szCs w:val="21"/>
        </w:rPr>
        <w:t xml:space="preserve"> 一键式操作</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MS Mincho" w:hAnsiTheme="minorEastAsia" w:cs="MS Mincho" w:hint="eastAsia"/>
          <w:sz w:val="21"/>
          <w:szCs w:val="21"/>
        </w:rPr>
        <w:t>￮</w:t>
      </w:r>
      <w:r w:rsidRPr="001B1772">
        <w:rPr>
          <w:rFonts w:asciiTheme="minorEastAsia" w:eastAsiaTheme="minorEastAsia" w:hAnsiTheme="minorEastAsia" w:hint="eastAsia"/>
          <w:sz w:val="21"/>
          <w:szCs w:val="21"/>
        </w:rPr>
        <w:t xml:space="preserve"> 可与任何品牌的GC联用 。</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MS Mincho" w:hAnsiTheme="minorEastAsia" w:cs="MS Mincho" w:hint="eastAsia"/>
          <w:sz w:val="21"/>
          <w:szCs w:val="21"/>
        </w:rPr>
        <w:t>￮</w:t>
      </w:r>
      <w:r w:rsidRPr="001B1772">
        <w:rPr>
          <w:rFonts w:asciiTheme="minorEastAsia" w:eastAsiaTheme="minorEastAsia" w:hAnsiTheme="minorEastAsia" w:hint="eastAsia"/>
          <w:sz w:val="21"/>
          <w:szCs w:val="21"/>
        </w:rPr>
        <w:t xml:space="preserve"> 采用图形化设计的触摸屏控制界面，中/英文显示与输入。</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MS Mincho" w:hAnsiTheme="minorEastAsia" w:cs="MS Mincho" w:hint="eastAsia"/>
          <w:sz w:val="21"/>
          <w:szCs w:val="21"/>
        </w:rPr>
        <w:t>￮</w:t>
      </w:r>
      <w:r w:rsidRPr="001B1772">
        <w:rPr>
          <w:rFonts w:asciiTheme="minorEastAsia" w:eastAsiaTheme="minorEastAsia" w:hAnsiTheme="minorEastAsia" w:cs="MS Mincho" w:hint="eastAsia"/>
          <w:sz w:val="21"/>
          <w:szCs w:val="21"/>
        </w:rPr>
        <w:t xml:space="preserve"> </w:t>
      </w:r>
      <w:r w:rsidRPr="001B1772">
        <w:rPr>
          <w:rFonts w:asciiTheme="minorEastAsia" w:eastAsiaTheme="minorEastAsia" w:hAnsiTheme="minorEastAsia" w:cs="宋体" w:hint="eastAsia"/>
          <w:sz w:val="21"/>
          <w:szCs w:val="21"/>
        </w:rPr>
        <w:t>有三种操作模式可供选择，即采样模式、解析模式和老化模式。</w:t>
      </w:r>
      <w:r w:rsidRPr="001B1772">
        <w:rPr>
          <w:rFonts w:asciiTheme="minorEastAsia" w:eastAsiaTheme="minorEastAsia" w:hAnsiTheme="minorEastAsia" w:hint="eastAsia"/>
          <w:sz w:val="21"/>
          <w:szCs w:val="21"/>
        </w:rPr>
        <w:t xml:space="preserve"> </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MS Mincho" w:hAnsiTheme="minorEastAsia" w:cs="MS Mincho" w:hint="eastAsia"/>
          <w:sz w:val="21"/>
          <w:szCs w:val="21"/>
        </w:rPr>
        <w:t>￮</w:t>
      </w:r>
      <w:r w:rsidRPr="001B1772">
        <w:rPr>
          <w:rFonts w:asciiTheme="minorEastAsia" w:eastAsiaTheme="minorEastAsia" w:hAnsiTheme="minorEastAsia" w:hint="eastAsia"/>
          <w:sz w:val="21"/>
          <w:szCs w:val="21"/>
        </w:rPr>
        <w:t xml:space="preserve"> 可储存10个用户定义的分析方法。</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MS Mincho" w:hAnsiTheme="minorEastAsia" w:cs="MS Mincho" w:hint="eastAsia"/>
          <w:sz w:val="21"/>
          <w:szCs w:val="21"/>
        </w:rPr>
        <w:t>￮</w:t>
      </w:r>
      <w:r w:rsidRPr="001B1772">
        <w:rPr>
          <w:rFonts w:asciiTheme="minorEastAsia" w:eastAsiaTheme="minorEastAsia" w:hAnsiTheme="minorEastAsia" w:hint="eastAsia"/>
          <w:sz w:val="21"/>
          <w:szCs w:val="21"/>
        </w:rPr>
        <w:t xml:space="preserve"> 气路全程及分段自动检漏及故障报警、诊断日志。</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MS Mincho" w:hAnsiTheme="minorEastAsia" w:cs="MS Mincho" w:hint="eastAsia"/>
          <w:sz w:val="21"/>
          <w:szCs w:val="21"/>
        </w:rPr>
        <w:t>￮</w:t>
      </w:r>
      <w:r w:rsidRPr="001B1772">
        <w:rPr>
          <w:rFonts w:asciiTheme="minorEastAsia" w:eastAsiaTheme="minorEastAsia" w:hAnsiTheme="minorEastAsia" w:hint="eastAsia"/>
          <w:sz w:val="21"/>
          <w:szCs w:val="21"/>
        </w:rPr>
        <w:t xml:space="preserve"> 选配采样泵，</w:t>
      </w:r>
      <w:r w:rsidR="00C06435" w:rsidRPr="001B1772">
        <w:rPr>
          <w:rFonts w:asciiTheme="minorEastAsia" w:eastAsiaTheme="minorEastAsia" w:hAnsiTheme="minorEastAsia" w:hint="eastAsia"/>
          <w:sz w:val="21"/>
          <w:szCs w:val="21"/>
        </w:rPr>
        <w:t>可实现在</w:t>
      </w:r>
      <w:r w:rsidRPr="001B1772">
        <w:rPr>
          <w:rFonts w:asciiTheme="minorEastAsia" w:eastAsiaTheme="minorEastAsia" w:hAnsiTheme="minorEastAsia" w:hint="eastAsia"/>
          <w:sz w:val="21"/>
          <w:szCs w:val="21"/>
        </w:rPr>
        <w:t>线采样任务</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MS Mincho" w:hAnsiTheme="minorEastAsia" w:cs="MS Mincho" w:hint="eastAsia"/>
          <w:sz w:val="21"/>
          <w:szCs w:val="21"/>
        </w:rPr>
        <w:t>￮</w:t>
      </w:r>
      <w:r w:rsidRPr="001B1772">
        <w:rPr>
          <w:rFonts w:asciiTheme="minorEastAsia" w:eastAsiaTheme="minorEastAsia" w:hAnsiTheme="minorEastAsia" w:hint="eastAsia"/>
          <w:sz w:val="21"/>
          <w:szCs w:val="21"/>
        </w:rPr>
        <w:t xml:space="preserve"> 电子流量控制（EPC）可选配。</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MS Mincho" w:hAnsiTheme="minorEastAsia" w:cs="MS Mincho" w:hint="eastAsia"/>
          <w:sz w:val="21"/>
          <w:szCs w:val="21"/>
        </w:rPr>
        <w:t>￮</w:t>
      </w:r>
      <w:r w:rsidRPr="001B1772">
        <w:rPr>
          <w:rFonts w:asciiTheme="minorEastAsia" w:eastAsiaTheme="minorEastAsia" w:hAnsiTheme="minorEastAsia" w:hint="eastAsia"/>
          <w:sz w:val="21"/>
          <w:szCs w:val="21"/>
        </w:rPr>
        <w:t xml:space="preserve"> 可</w:t>
      </w:r>
      <w:r w:rsidR="00C06435" w:rsidRPr="001B1772">
        <w:rPr>
          <w:rFonts w:asciiTheme="minorEastAsia" w:eastAsiaTheme="minorEastAsia" w:hAnsiTheme="minorEastAsia" w:hint="eastAsia"/>
          <w:sz w:val="21"/>
          <w:szCs w:val="21"/>
        </w:rPr>
        <w:t>根据检测器不同,使用多种气体</w:t>
      </w:r>
      <w:r w:rsidRPr="001B1772">
        <w:rPr>
          <w:rFonts w:asciiTheme="minorEastAsia" w:eastAsiaTheme="minorEastAsia" w:hAnsiTheme="minorEastAsia" w:hint="eastAsia"/>
          <w:sz w:val="21"/>
          <w:szCs w:val="21"/>
        </w:rPr>
        <w:t>作为载气。</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MS Mincho" w:hAnsiTheme="minorEastAsia" w:cs="MS Mincho" w:hint="eastAsia"/>
          <w:sz w:val="21"/>
          <w:szCs w:val="21"/>
        </w:rPr>
        <w:t>￮</w:t>
      </w:r>
      <w:r w:rsidRPr="001B1772">
        <w:rPr>
          <w:rFonts w:asciiTheme="minorEastAsia" w:eastAsiaTheme="minorEastAsia" w:hAnsiTheme="minorEastAsia" w:hint="eastAsia"/>
          <w:sz w:val="21"/>
          <w:szCs w:val="21"/>
        </w:rPr>
        <w:t xml:space="preserve"> 三重防漏电和三重过温保护。</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MS Mincho" w:hAnsiTheme="minorEastAsia" w:cs="MS Mincho" w:hint="eastAsia"/>
          <w:sz w:val="21"/>
          <w:szCs w:val="21"/>
        </w:rPr>
        <w:t>￮</w:t>
      </w:r>
      <w:r w:rsidRPr="001B1772">
        <w:rPr>
          <w:rFonts w:asciiTheme="minorEastAsia" w:eastAsiaTheme="minorEastAsia" w:hAnsiTheme="minorEastAsia" w:hint="eastAsia"/>
          <w:sz w:val="21"/>
          <w:szCs w:val="21"/>
        </w:rPr>
        <w:t xml:space="preserve"> 有自动和手动两套吹扫系统。</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MS Mincho" w:hAnsiTheme="minorEastAsia" w:cs="MS Mincho" w:hint="eastAsia"/>
          <w:sz w:val="21"/>
          <w:szCs w:val="21"/>
        </w:rPr>
        <w:t>￮</w:t>
      </w:r>
      <w:r w:rsidRPr="001B1772">
        <w:rPr>
          <w:rFonts w:asciiTheme="minorEastAsia" w:eastAsiaTheme="minorEastAsia" w:hAnsiTheme="minorEastAsia" w:hint="eastAsia"/>
          <w:sz w:val="21"/>
          <w:szCs w:val="21"/>
        </w:rPr>
        <w:t xml:space="preserve"> 高度一致的全系统恒温技术。</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MS Mincho" w:hAnsiTheme="minorEastAsia" w:cs="MS Mincho" w:hint="eastAsia"/>
          <w:sz w:val="21"/>
          <w:szCs w:val="21"/>
        </w:rPr>
        <w:t>￮</w:t>
      </w:r>
      <w:r w:rsidRPr="001B1772">
        <w:rPr>
          <w:rFonts w:asciiTheme="minorEastAsia" w:eastAsiaTheme="minorEastAsia" w:hAnsiTheme="minorEastAsia" w:hint="eastAsia"/>
          <w:sz w:val="21"/>
          <w:szCs w:val="21"/>
        </w:rPr>
        <w:t xml:space="preserve"> 整机的传输管经过钝化处理。</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Theme="minorEastAsia" w:hAnsiTheme="minorEastAsia" w:cs="MS Mincho" w:hint="eastAsia"/>
          <w:sz w:val="21"/>
          <w:szCs w:val="21"/>
        </w:rPr>
        <w:t>￮</w:t>
      </w:r>
      <w:r w:rsidRPr="001B1772">
        <w:rPr>
          <w:rFonts w:asciiTheme="minorEastAsia" w:eastAsiaTheme="minorEastAsia" w:hAnsiTheme="minorEastAsia" w:hint="eastAsia"/>
          <w:sz w:val="21"/>
          <w:szCs w:val="21"/>
        </w:rPr>
        <w:t>更清晰的模块化结构能最大程度的减少吸附和死体积</w:t>
      </w:r>
    </w:p>
    <w:p w:rsidR="00CC5976" w:rsidRPr="001B1772" w:rsidRDefault="003F4818" w:rsidP="00CC5976">
      <w:pPr>
        <w:pStyle w:val="a5"/>
        <w:rPr>
          <w:rFonts w:asciiTheme="minorEastAsia" w:eastAsiaTheme="minorEastAsia" w:hAnsiTheme="minorEastAsia" w:hint="eastAsia"/>
          <w:sz w:val="21"/>
          <w:szCs w:val="21"/>
        </w:rPr>
      </w:pPr>
      <w:r w:rsidRPr="001B1772">
        <w:rPr>
          <w:rFonts w:asciiTheme="minorEastAsia" w:eastAsia="MS Mincho" w:hAnsiTheme="minorEastAsia" w:cs="MS Mincho" w:hint="eastAsia"/>
          <w:sz w:val="21"/>
          <w:szCs w:val="21"/>
        </w:rPr>
        <w:t>￮</w:t>
      </w:r>
      <w:r w:rsidRPr="001B1772">
        <w:rPr>
          <w:rFonts w:asciiTheme="minorEastAsia" w:eastAsiaTheme="minorEastAsia" w:hAnsiTheme="minorEastAsia" w:hint="eastAsia"/>
          <w:sz w:val="21"/>
          <w:szCs w:val="21"/>
        </w:rPr>
        <w:t>高效的六通阀组件优化了样品的解析与进样</w:t>
      </w:r>
    </w:p>
    <w:p w:rsidR="00CC5976" w:rsidRPr="001B1772" w:rsidRDefault="00CC5976" w:rsidP="00CC5976">
      <w:pPr>
        <w:pStyle w:val="a5"/>
        <w:rPr>
          <w:rFonts w:asciiTheme="minorEastAsia" w:eastAsiaTheme="minorEastAsia" w:hAnsiTheme="minorEastAsia" w:cs="宋体" w:hint="eastAsia"/>
          <w:color w:val="424242"/>
          <w:sz w:val="21"/>
          <w:szCs w:val="21"/>
        </w:rPr>
      </w:pPr>
      <w:r w:rsidRPr="001B1772">
        <w:rPr>
          <w:rFonts w:asciiTheme="minorEastAsia" w:eastAsia="MS Mincho" w:hAnsiTheme="minorEastAsia" w:cs="MS Mincho" w:hint="eastAsia"/>
          <w:sz w:val="21"/>
          <w:szCs w:val="21"/>
        </w:rPr>
        <w:t>￮</w:t>
      </w:r>
      <w:r w:rsidRPr="001B1772">
        <w:rPr>
          <w:rFonts w:asciiTheme="minorEastAsia" w:eastAsiaTheme="minorEastAsia" w:hAnsiTheme="minorEastAsia" w:cs="MS Mincho" w:hint="eastAsia"/>
          <w:sz w:val="21"/>
          <w:szCs w:val="21"/>
        </w:rPr>
        <w:t xml:space="preserve"> </w:t>
      </w:r>
      <w:r w:rsidRPr="001B1772">
        <w:rPr>
          <w:rFonts w:asciiTheme="minorEastAsia" w:eastAsiaTheme="minorEastAsia" w:hAnsiTheme="minorEastAsia" w:hint="eastAsia"/>
          <w:sz w:val="21"/>
          <w:szCs w:val="21"/>
        </w:rPr>
        <w:t>设有可</w:t>
      </w:r>
      <w:r w:rsidRPr="001B1772">
        <w:rPr>
          <w:rFonts w:asciiTheme="minorEastAsia" w:eastAsiaTheme="minorEastAsia" w:hAnsiTheme="minorEastAsia" w:cs="宋体" w:hint="eastAsia"/>
          <w:color w:val="424242"/>
          <w:sz w:val="21"/>
          <w:szCs w:val="21"/>
        </w:rPr>
        <w:t>同步启动色谱数据处理工作站通讯接口</w:t>
      </w:r>
    </w:p>
    <w:p w:rsidR="00CC5976" w:rsidRPr="001B1772" w:rsidRDefault="00CC5976" w:rsidP="00CC5976">
      <w:pPr>
        <w:pStyle w:val="a5"/>
        <w:rPr>
          <w:rFonts w:asciiTheme="minorEastAsia" w:eastAsiaTheme="minorEastAsia" w:hAnsiTheme="minorEastAsia" w:hint="eastAsia"/>
          <w:sz w:val="21"/>
          <w:szCs w:val="21"/>
        </w:rPr>
      </w:pPr>
      <w:r w:rsidRPr="001B1772">
        <w:rPr>
          <w:rFonts w:asciiTheme="minorEastAsia" w:eastAsia="MS Mincho" w:hAnsiTheme="minorEastAsia" w:cs="MS Mincho" w:hint="eastAsia"/>
          <w:sz w:val="21"/>
          <w:szCs w:val="21"/>
        </w:rPr>
        <w:t>￮</w:t>
      </w:r>
      <w:r w:rsidRPr="001B1772">
        <w:rPr>
          <w:rFonts w:asciiTheme="minorEastAsia" w:eastAsiaTheme="minorEastAsia" w:hAnsiTheme="minorEastAsia" w:cs="MS Mincho" w:hint="eastAsia"/>
          <w:sz w:val="21"/>
          <w:szCs w:val="21"/>
        </w:rPr>
        <w:t xml:space="preserve"> </w:t>
      </w:r>
      <w:r w:rsidRPr="001B1772">
        <w:rPr>
          <w:rFonts w:asciiTheme="minorEastAsia" w:eastAsiaTheme="minorEastAsia" w:hAnsiTheme="minorEastAsia" w:cs="宋体" w:hint="eastAsia"/>
          <w:color w:val="424242"/>
          <w:sz w:val="21"/>
          <w:szCs w:val="21"/>
        </w:rPr>
        <w:t>以太网接口支持局域网，实验室网络，或者固定IP</w:t>
      </w:r>
    </w:p>
    <w:p w:rsidR="003F4818" w:rsidRPr="001B1772" w:rsidRDefault="003F4818" w:rsidP="003F4818">
      <w:pPr>
        <w:rPr>
          <w:rFonts w:asciiTheme="minorEastAsia" w:hAnsiTheme="minorEastAsia" w:hint="eastAsia"/>
          <w:szCs w:val="21"/>
        </w:rPr>
      </w:pPr>
    </w:p>
    <w:p w:rsidR="003F4818" w:rsidRPr="001B1772" w:rsidRDefault="003F4818" w:rsidP="003F4818">
      <w:pPr>
        <w:rPr>
          <w:rFonts w:asciiTheme="minorEastAsia" w:hAnsiTheme="minorEastAsia" w:hint="eastAsia"/>
          <w:szCs w:val="21"/>
        </w:rPr>
      </w:pPr>
      <w:r w:rsidRPr="001B1772">
        <w:rPr>
          <w:rFonts w:asciiTheme="minorEastAsia" w:hAnsiTheme="minorEastAsia" w:hint="eastAsia"/>
          <w:szCs w:val="21"/>
        </w:rPr>
        <w:t>主要</w:t>
      </w:r>
      <w:r w:rsidR="00CC5976" w:rsidRPr="001B1772">
        <w:rPr>
          <w:rFonts w:asciiTheme="minorEastAsia" w:hAnsiTheme="minorEastAsia" w:hint="eastAsia"/>
          <w:szCs w:val="21"/>
        </w:rPr>
        <w:t>技术指标</w:t>
      </w:r>
      <w:r w:rsidRPr="001B1772">
        <w:rPr>
          <w:rFonts w:asciiTheme="minorEastAsia" w:hAnsiTheme="minorEastAsia" w:hint="eastAsia"/>
          <w:szCs w:val="21"/>
        </w:rPr>
        <w:t>：</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Theme="minorEastAsia" w:hAnsiTheme="minorEastAsia" w:cs="MS Mincho" w:hint="eastAsia"/>
          <w:sz w:val="21"/>
          <w:szCs w:val="21"/>
        </w:rPr>
        <w:t xml:space="preserve">▪ </w:t>
      </w:r>
      <w:r w:rsidRPr="001B1772">
        <w:rPr>
          <w:rFonts w:asciiTheme="minorEastAsia" w:eastAsiaTheme="minorEastAsia" w:hAnsiTheme="minorEastAsia" w:hint="eastAsia"/>
          <w:sz w:val="21"/>
          <w:szCs w:val="21"/>
        </w:rPr>
        <w:t>解析炉温度及控制范围：室温-450℃。</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Theme="minorEastAsia" w:hAnsiTheme="minorEastAsia" w:cs="MS Mincho" w:hint="eastAsia"/>
          <w:sz w:val="21"/>
          <w:szCs w:val="21"/>
        </w:rPr>
        <w:t xml:space="preserve">▪ </w:t>
      </w:r>
      <w:r w:rsidRPr="001B1772">
        <w:rPr>
          <w:rFonts w:asciiTheme="minorEastAsia" w:eastAsiaTheme="minorEastAsia" w:hAnsiTheme="minorEastAsia" w:hint="eastAsia"/>
          <w:sz w:val="21"/>
          <w:szCs w:val="21"/>
        </w:rPr>
        <w:t>六通阀进样系统温度及控制范围：室温-260℃。</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Theme="minorEastAsia" w:hAnsiTheme="minorEastAsia" w:cs="MS Mincho" w:hint="eastAsia"/>
          <w:sz w:val="21"/>
          <w:szCs w:val="21"/>
        </w:rPr>
        <w:t xml:space="preserve">▪ </w:t>
      </w:r>
      <w:r w:rsidRPr="001B1772">
        <w:rPr>
          <w:rFonts w:asciiTheme="minorEastAsia" w:eastAsiaTheme="minorEastAsia" w:hAnsiTheme="minorEastAsia" w:hint="eastAsia"/>
          <w:sz w:val="21"/>
          <w:szCs w:val="21"/>
        </w:rPr>
        <w:t>样品传输管温度及控制范围：室温-220℃。</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Theme="minorEastAsia" w:hAnsiTheme="minorEastAsia" w:cs="MS Mincho" w:hint="eastAsia"/>
          <w:sz w:val="21"/>
          <w:szCs w:val="21"/>
        </w:rPr>
        <w:t xml:space="preserve">▪ </w:t>
      </w:r>
      <w:r w:rsidRPr="001B1772">
        <w:rPr>
          <w:rFonts w:asciiTheme="minorEastAsia" w:eastAsiaTheme="minorEastAsia" w:hAnsiTheme="minorEastAsia" w:hint="eastAsia"/>
          <w:sz w:val="21"/>
          <w:szCs w:val="21"/>
        </w:rPr>
        <w:t>控温</w:t>
      </w:r>
      <w:r w:rsidRPr="001B1772">
        <w:rPr>
          <w:rFonts w:asciiTheme="minorEastAsia" w:eastAsiaTheme="minorEastAsia" w:hAnsiTheme="minorEastAsia" w:cs="宋体" w:hint="eastAsia"/>
          <w:sz w:val="21"/>
          <w:szCs w:val="21"/>
        </w:rPr>
        <w:t>增量1℃。</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Theme="minorEastAsia" w:hAnsiTheme="minorEastAsia" w:cs="MS Mincho" w:hint="eastAsia"/>
          <w:sz w:val="21"/>
          <w:szCs w:val="21"/>
        </w:rPr>
        <w:t xml:space="preserve">▪ </w:t>
      </w:r>
      <w:r w:rsidRPr="001B1772">
        <w:rPr>
          <w:rFonts w:asciiTheme="minorEastAsia" w:eastAsiaTheme="minorEastAsia" w:hAnsiTheme="minorEastAsia" w:hint="eastAsia"/>
          <w:sz w:val="21"/>
          <w:szCs w:val="21"/>
        </w:rPr>
        <w:t>控温精度：±0.1℃</w:t>
      </w:r>
    </w:p>
    <w:p w:rsidR="003F4818" w:rsidRPr="001B1772" w:rsidRDefault="003F4818" w:rsidP="003F4818">
      <w:pPr>
        <w:pStyle w:val="a5"/>
        <w:ind w:left="0" w:firstLine="0"/>
        <w:rPr>
          <w:rFonts w:asciiTheme="minorEastAsia" w:eastAsiaTheme="minorEastAsia" w:hAnsiTheme="minorEastAsia" w:hint="eastAsia"/>
          <w:sz w:val="21"/>
          <w:szCs w:val="21"/>
        </w:rPr>
      </w:pPr>
      <w:r w:rsidRPr="001B1772">
        <w:rPr>
          <w:rFonts w:asciiTheme="minorEastAsia" w:eastAsiaTheme="minorEastAsia" w:hAnsiTheme="minorEastAsia" w:cs="MS Mincho" w:hint="eastAsia"/>
          <w:sz w:val="21"/>
          <w:szCs w:val="21"/>
        </w:rPr>
        <w:t xml:space="preserve">▪ </w:t>
      </w:r>
      <w:r w:rsidRPr="001B1772">
        <w:rPr>
          <w:rFonts w:asciiTheme="minorEastAsia" w:eastAsiaTheme="minorEastAsia" w:hAnsiTheme="minorEastAsia" w:hint="eastAsia"/>
          <w:sz w:val="21"/>
          <w:szCs w:val="21"/>
        </w:rPr>
        <w:t>重复性：RSD &lt;1.5%</w:t>
      </w:r>
    </w:p>
    <w:p w:rsidR="003F4818" w:rsidRPr="001B1772" w:rsidRDefault="003F4818" w:rsidP="003F4818">
      <w:pPr>
        <w:pStyle w:val="a5"/>
        <w:ind w:left="0" w:firstLine="0"/>
        <w:rPr>
          <w:rFonts w:asciiTheme="minorEastAsia" w:eastAsiaTheme="minorEastAsia" w:hAnsiTheme="minorEastAsia" w:hint="eastAsia"/>
          <w:sz w:val="21"/>
          <w:szCs w:val="21"/>
        </w:rPr>
      </w:pPr>
      <w:r w:rsidRPr="001B1772">
        <w:rPr>
          <w:rFonts w:asciiTheme="minorEastAsia" w:eastAsiaTheme="minorEastAsia" w:hAnsiTheme="minorEastAsia" w:cs="MS Mincho" w:hint="eastAsia"/>
          <w:sz w:val="21"/>
          <w:szCs w:val="21"/>
        </w:rPr>
        <w:t xml:space="preserve">▪ </w:t>
      </w:r>
      <w:r w:rsidR="00CC5976" w:rsidRPr="001B1772">
        <w:rPr>
          <w:rFonts w:asciiTheme="minorEastAsia" w:eastAsiaTheme="minorEastAsia" w:hAnsiTheme="minorEastAsia" w:hint="eastAsia"/>
          <w:sz w:val="21"/>
          <w:szCs w:val="21"/>
        </w:rPr>
        <w:t>解析</w:t>
      </w:r>
      <w:r w:rsidRPr="001B1772">
        <w:rPr>
          <w:rFonts w:asciiTheme="minorEastAsia" w:eastAsiaTheme="minorEastAsia" w:hAnsiTheme="minorEastAsia" w:hint="eastAsia"/>
          <w:sz w:val="21"/>
          <w:szCs w:val="21"/>
        </w:rPr>
        <w:t>回收率：</w:t>
      </w:r>
      <w:r w:rsidR="00CC5976" w:rsidRPr="001B1772">
        <w:rPr>
          <w:rFonts w:asciiTheme="minorEastAsia" w:eastAsiaTheme="minorEastAsia" w:hAnsiTheme="minorEastAsia" w:hint="eastAsia"/>
          <w:color w:val="auto"/>
          <w:sz w:val="21"/>
          <w:szCs w:val="21"/>
        </w:rPr>
        <w:t>&gt;</w:t>
      </w:r>
      <w:r w:rsidRPr="001B1772">
        <w:rPr>
          <w:rFonts w:asciiTheme="minorEastAsia" w:eastAsiaTheme="minorEastAsia" w:hAnsiTheme="minorEastAsia" w:hint="eastAsia"/>
          <w:sz w:val="21"/>
          <w:szCs w:val="21"/>
        </w:rPr>
        <w:t>98%（视组份性质和操作条件）</w:t>
      </w:r>
    </w:p>
    <w:p w:rsidR="003F4818" w:rsidRPr="001B1772" w:rsidRDefault="003F4818" w:rsidP="003F4818">
      <w:pPr>
        <w:pStyle w:val="a5"/>
        <w:tabs>
          <w:tab w:val="clear" w:pos="283"/>
        </w:tabs>
        <w:ind w:left="0" w:firstLine="0"/>
        <w:rPr>
          <w:rFonts w:asciiTheme="minorEastAsia" w:eastAsiaTheme="minorEastAsia" w:hAnsiTheme="minorEastAsia" w:hint="eastAsia"/>
          <w:sz w:val="21"/>
          <w:szCs w:val="21"/>
        </w:rPr>
      </w:pPr>
      <w:r w:rsidRPr="001B1772">
        <w:rPr>
          <w:rFonts w:asciiTheme="minorEastAsia" w:eastAsiaTheme="minorEastAsia" w:hAnsiTheme="minorEastAsia" w:cs="MS Mincho" w:hint="eastAsia"/>
          <w:sz w:val="21"/>
          <w:szCs w:val="21"/>
        </w:rPr>
        <w:t xml:space="preserve">▪ </w:t>
      </w:r>
      <w:r w:rsidR="00CC5976" w:rsidRPr="001B1772">
        <w:rPr>
          <w:rFonts w:asciiTheme="minorEastAsia" w:eastAsiaTheme="minorEastAsia" w:hAnsiTheme="minorEastAsia" w:hint="eastAsia"/>
          <w:sz w:val="21"/>
          <w:szCs w:val="21"/>
        </w:rPr>
        <w:t>解析</w:t>
      </w:r>
      <w:r w:rsidRPr="001B1772">
        <w:rPr>
          <w:rFonts w:asciiTheme="minorEastAsia" w:eastAsiaTheme="minorEastAsia" w:hAnsiTheme="minorEastAsia" w:hint="eastAsia"/>
          <w:sz w:val="21"/>
          <w:szCs w:val="21"/>
        </w:rPr>
        <w:t>管规格：适用外径￠6</w:t>
      </w:r>
      <w:r w:rsidR="00CC5976" w:rsidRPr="001B1772">
        <w:rPr>
          <w:rFonts w:asciiTheme="minorEastAsia" w:eastAsiaTheme="minorEastAsia" w:hAnsiTheme="minorEastAsia" w:hint="eastAsia"/>
          <w:sz w:val="21"/>
          <w:szCs w:val="21"/>
        </w:rPr>
        <w:t>、</w:t>
      </w:r>
      <w:r w:rsidRPr="001B1772">
        <w:rPr>
          <w:rFonts w:asciiTheme="minorEastAsia" w:eastAsiaTheme="minorEastAsia" w:hAnsiTheme="minorEastAsia" w:hint="eastAsia"/>
          <w:sz w:val="21"/>
          <w:szCs w:val="21"/>
        </w:rPr>
        <w:t>1/4</w:t>
      </w:r>
      <w:r w:rsidR="00CC5976" w:rsidRPr="001B1772">
        <w:rPr>
          <w:rFonts w:asciiTheme="minorEastAsia" w:eastAsiaTheme="minorEastAsia" w:hAnsiTheme="minorEastAsia" w:hint="eastAsia"/>
          <w:sz w:val="21"/>
          <w:szCs w:val="21"/>
        </w:rPr>
        <w:t>英寸</w:t>
      </w:r>
      <w:r w:rsidRPr="001B1772">
        <w:rPr>
          <w:rFonts w:asciiTheme="minorEastAsia" w:eastAsiaTheme="minorEastAsia" w:hAnsiTheme="minorEastAsia" w:hint="eastAsia"/>
          <w:sz w:val="21"/>
          <w:szCs w:val="21"/>
        </w:rPr>
        <w:t>的各种标准吸附管。材质可为不锈钢管，</w:t>
      </w:r>
      <w:r w:rsidRPr="001B1772">
        <w:rPr>
          <w:rFonts w:asciiTheme="minorEastAsia" w:eastAsiaTheme="minorEastAsia" w:hAnsiTheme="minorEastAsia" w:cs="MS Mincho" w:hint="eastAsia"/>
          <w:sz w:val="21"/>
          <w:szCs w:val="21"/>
        </w:rPr>
        <w:t xml:space="preserve"> </w:t>
      </w:r>
      <w:r w:rsidRPr="001B1772">
        <w:rPr>
          <w:rFonts w:asciiTheme="minorEastAsia" w:eastAsiaTheme="minorEastAsia" w:hAnsiTheme="minorEastAsia" w:hint="eastAsia"/>
          <w:sz w:val="21"/>
          <w:szCs w:val="21"/>
        </w:rPr>
        <w:t>石英玻璃</w:t>
      </w:r>
      <w:r w:rsidRPr="001B1772">
        <w:rPr>
          <w:rFonts w:asciiTheme="minorEastAsia" w:eastAsiaTheme="minorEastAsia" w:hAnsiTheme="minorEastAsia" w:hint="eastAsia"/>
          <w:sz w:val="21"/>
          <w:szCs w:val="21"/>
        </w:rPr>
        <w:lastRenderedPageBreak/>
        <w:t>管，硬质玻璃管等</w:t>
      </w:r>
    </w:p>
    <w:p w:rsidR="003F4818" w:rsidRPr="001B1772" w:rsidRDefault="003F4818" w:rsidP="003F4818">
      <w:pPr>
        <w:pStyle w:val="a5"/>
        <w:rPr>
          <w:rFonts w:asciiTheme="minorEastAsia" w:eastAsiaTheme="minorEastAsia" w:hAnsiTheme="minorEastAsia" w:hint="eastAsia"/>
          <w:sz w:val="21"/>
          <w:szCs w:val="21"/>
        </w:rPr>
      </w:pPr>
      <w:r w:rsidRPr="001B1772">
        <w:rPr>
          <w:rFonts w:asciiTheme="minorEastAsia" w:eastAsiaTheme="minorEastAsia" w:hAnsiTheme="minorEastAsia" w:cs="MS Mincho" w:hint="eastAsia"/>
          <w:sz w:val="21"/>
          <w:szCs w:val="21"/>
        </w:rPr>
        <w:t xml:space="preserve">▪ </w:t>
      </w:r>
      <w:r w:rsidRPr="001B1772">
        <w:rPr>
          <w:rFonts w:asciiTheme="minorEastAsia" w:eastAsiaTheme="minorEastAsia" w:hAnsiTheme="minorEastAsia" w:hint="eastAsia"/>
          <w:sz w:val="21"/>
          <w:szCs w:val="21"/>
        </w:rPr>
        <w:t>消耗功率：300W</w:t>
      </w:r>
    </w:p>
    <w:p w:rsidR="003F4818" w:rsidRPr="001B1772" w:rsidRDefault="003F4818" w:rsidP="003F4818">
      <w:pPr>
        <w:rPr>
          <w:rFonts w:asciiTheme="minorEastAsia" w:hAnsiTheme="minorEastAsia" w:cs="Times New Roman" w:hint="eastAsia"/>
          <w:szCs w:val="21"/>
        </w:rPr>
      </w:pPr>
      <w:r w:rsidRPr="001B1772">
        <w:rPr>
          <w:rFonts w:asciiTheme="minorEastAsia" w:hAnsiTheme="minorEastAsia" w:cs="MS Mincho" w:hint="eastAsia"/>
          <w:szCs w:val="21"/>
        </w:rPr>
        <w:t xml:space="preserve">▪ </w:t>
      </w:r>
      <w:r w:rsidRPr="001B1772">
        <w:rPr>
          <w:rFonts w:asciiTheme="minorEastAsia" w:hAnsiTheme="minorEastAsia" w:cs="Times New Roman" w:hint="eastAsia"/>
          <w:szCs w:val="21"/>
        </w:rPr>
        <w:t>外形尺寸：长</w:t>
      </w:r>
      <w:r w:rsidRPr="001B1772">
        <w:rPr>
          <w:rFonts w:asciiTheme="minorEastAsia" w:hAnsiTheme="minorEastAsia" w:hint="eastAsia"/>
          <w:szCs w:val="21"/>
        </w:rPr>
        <w:t>4</w:t>
      </w:r>
      <w:r w:rsidR="00CC5976" w:rsidRPr="001B1772">
        <w:rPr>
          <w:rFonts w:asciiTheme="minorEastAsia" w:hAnsiTheme="minorEastAsia" w:hint="eastAsia"/>
          <w:szCs w:val="21"/>
        </w:rPr>
        <w:t>5</w:t>
      </w:r>
      <w:r w:rsidRPr="001B1772">
        <w:rPr>
          <w:rFonts w:asciiTheme="minorEastAsia" w:hAnsiTheme="minorEastAsia" w:cs="Times New Roman" w:hint="eastAsia"/>
          <w:szCs w:val="21"/>
        </w:rPr>
        <w:t>mm</w:t>
      </w:r>
      <w:r w:rsidRPr="001B1772">
        <w:rPr>
          <w:rFonts w:asciiTheme="minorEastAsia" w:hAnsiTheme="minorEastAsia" w:cs="方正中等线_GBK" w:hint="eastAsia"/>
          <w:color w:val="000000"/>
          <w:kern w:val="0"/>
          <w:szCs w:val="21"/>
          <w:lang w:val="zh-CN"/>
        </w:rPr>
        <w:t>×</w:t>
      </w:r>
      <w:r w:rsidRPr="001B1772">
        <w:rPr>
          <w:rFonts w:asciiTheme="minorEastAsia" w:hAnsiTheme="minorEastAsia" w:cs="Times New Roman" w:hint="eastAsia"/>
          <w:szCs w:val="21"/>
        </w:rPr>
        <w:t>宽</w:t>
      </w:r>
      <w:r w:rsidR="00CC5976" w:rsidRPr="001B1772">
        <w:rPr>
          <w:rFonts w:asciiTheme="minorEastAsia" w:hAnsiTheme="minorEastAsia" w:hint="eastAsia"/>
          <w:szCs w:val="21"/>
        </w:rPr>
        <w:t>32</w:t>
      </w:r>
      <w:r w:rsidRPr="001B1772">
        <w:rPr>
          <w:rFonts w:asciiTheme="minorEastAsia" w:hAnsiTheme="minorEastAsia" w:cs="Times New Roman" w:hint="eastAsia"/>
          <w:szCs w:val="21"/>
        </w:rPr>
        <w:t>mm</w:t>
      </w:r>
      <w:r w:rsidRPr="001B1772">
        <w:rPr>
          <w:rFonts w:asciiTheme="minorEastAsia" w:hAnsiTheme="minorEastAsia" w:cs="方正中等线_GBK" w:hint="eastAsia"/>
          <w:color w:val="000000"/>
          <w:kern w:val="0"/>
          <w:szCs w:val="21"/>
          <w:lang w:val="zh-CN"/>
        </w:rPr>
        <w:t>×</w:t>
      </w:r>
      <w:r w:rsidRPr="001B1772">
        <w:rPr>
          <w:rFonts w:asciiTheme="minorEastAsia" w:hAnsiTheme="minorEastAsia" w:cs="Times New Roman" w:hint="eastAsia"/>
          <w:szCs w:val="21"/>
        </w:rPr>
        <w:t>高</w:t>
      </w:r>
      <w:r w:rsidR="00CC5976" w:rsidRPr="001B1772">
        <w:rPr>
          <w:rFonts w:asciiTheme="minorEastAsia" w:hAnsiTheme="minorEastAsia" w:hint="eastAsia"/>
          <w:szCs w:val="21"/>
        </w:rPr>
        <w:t>40</w:t>
      </w:r>
      <w:r w:rsidRPr="001B1772">
        <w:rPr>
          <w:rFonts w:asciiTheme="minorEastAsia" w:hAnsiTheme="minorEastAsia" w:cs="Times New Roman" w:hint="eastAsia"/>
          <w:szCs w:val="21"/>
        </w:rPr>
        <w:t>mm</w:t>
      </w:r>
    </w:p>
    <w:p w:rsidR="003F4818" w:rsidRPr="001B1772" w:rsidRDefault="003F4818" w:rsidP="003F4818">
      <w:pPr>
        <w:rPr>
          <w:rFonts w:asciiTheme="minorEastAsia" w:hAnsiTheme="minorEastAsia" w:cs="Times New Roman" w:hint="eastAsia"/>
          <w:szCs w:val="21"/>
        </w:rPr>
      </w:pPr>
      <w:r w:rsidRPr="001B1772">
        <w:rPr>
          <w:rFonts w:asciiTheme="minorEastAsia" w:hAnsiTheme="minorEastAsia" w:cs="MS Mincho" w:hint="eastAsia"/>
          <w:szCs w:val="21"/>
        </w:rPr>
        <w:t xml:space="preserve">▪ </w:t>
      </w:r>
      <w:r w:rsidRPr="001B1772">
        <w:rPr>
          <w:rFonts w:asciiTheme="minorEastAsia" w:hAnsiTheme="minorEastAsia" w:cs="Times New Roman" w:hint="eastAsia"/>
          <w:szCs w:val="21"/>
        </w:rPr>
        <w:t>重量：</w:t>
      </w:r>
      <w:r w:rsidR="00C06435" w:rsidRPr="001B1772">
        <w:rPr>
          <w:rFonts w:asciiTheme="minorEastAsia" w:hAnsiTheme="minorEastAsia" w:cs="Times New Roman" w:hint="eastAsia"/>
          <w:szCs w:val="21"/>
        </w:rPr>
        <w:t>19</w:t>
      </w:r>
      <w:r w:rsidRPr="001B1772">
        <w:rPr>
          <w:rFonts w:asciiTheme="minorEastAsia" w:hAnsiTheme="minorEastAsia" w:cs="Times New Roman" w:hint="eastAsia"/>
          <w:szCs w:val="21"/>
        </w:rPr>
        <w:t>Kg</w:t>
      </w:r>
    </w:p>
    <w:p w:rsidR="00AB4287" w:rsidRPr="001B1772" w:rsidRDefault="00AB4287" w:rsidP="003F4818">
      <w:pPr>
        <w:rPr>
          <w:rFonts w:asciiTheme="minorEastAsia" w:hAnsiTheme="minorEastAsia" w:cs="Times New Roman" w:hint="eastAsia"/>
          <w:szCs w:val="21"/>
        </w:rPr>
      </w:pPr>
    </w:p>
    <w:p w:rsidR="00AB4287" w:rsidRPr="001B1772" w:rsidRDefault="00AB4287" w:rsidP="003F4818">
      <w:pPr>
        <w:rPr>
          <w:rFonts w:asciiTheme="minorEastAsia" w:hAnsiTheme="minorEastAsia" w:cs="Times New Roman" w:hint="eastAsia"/>
          <w:szCs w:val="21"/>
        </w:rPr>
      </w:pPr>
    </w:p>
    <w:p w:rsidR="00AB4287" w:rsidRPr="001B1772" w:rsidRDefault="00AB4287" w:rsidP="003F4818">
      <w:pPr>
        <w:rPr>
          <w:rFonts w:asciiTheme="minorEastAsia" w:hAnsiTheme="minorEastAsia" w:cs="Times New Roman" w:hint="eastAsia"/>
          <w:szCs w:val="21"/>
        </w:rPr>
      </w:pPr>
    </w:p>
    <w:tbl>
      <w:tblPr>
        <w:tblW w:w="855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0"/>
      </w:tblGrid>
      <w:tr w:rsidR="00AB4287" w:rsidRPr="001B1772" w:rsidTr="00AB4287">
        <w:trPr>
          <w:trHeight w:val="7035"/>
        </w:trPr>
        <w:tc>
          <w:tcPr>
            <w:tcW w:w="8550" w:type="dxa"/>
          </w:tcPr>
          <w:p w:rsidR="00AB4287" w:rsidRPr="001B1772" w:rsidRDefault="00AB4287" w:rsidP="00AB4287">
            <w:pPr>
              <w:pStyle w:val="Default"/>
              <w:rPr>
                <w:rFonts w:asciiTheme="minorEastAsia" w:eastAsiaTheme="minorEastAsia" w:hAnsiTheme="minorEastAsia" w:cs="宋体" w:hint="eastAsia"/>
                <w:sz w:val="21"/>
                <w:szCs w:val="21"/>
              </w:rPr>
            </w:pPr>
            <w:r w:rsidRPr="001B1772">
              <w:rPr>
                <w:rFonts w:asciiTheme="minorEastAsia" w:eastAsiaTheme="minorEastAsia" w:hAnsiTheme="minorEastAsia" w:hint="eastAsia"/>
                <w:sz w:val="21"/>
                <w:szCs w:val="21"/>
              </w:rPr>
              <w:t>TD-50</w:t>
            </w:r>
            <w:r w:rsidRPr="001B1772">
              <w:rPr>
                <w:rFonts w:asciiTheme="minorEastAsia" w:eastAsiaTheme="minorEastAsia" w:hAnsiTheme="minorEastAsia" w:cs="宋体" w:hint="eastAsia"/>
                <w:sz w:val="21"/>
                <w:szCs w:val="21"/>
              </w:rPr>
              <w:t xml:space="preserve">有三种操作模式，即采样模式、解析模式和老化模式 </w:t>
            </w:r>
          </w:p>
          <w:p w:rsidR="00AB4287" w:rsidRPr="001B1772" w:rsidRDefault="00AB4287" w:rsidP="00AB4287">
            <w:pPr>
              <w:pStyle w:val="Default"/>
              <w:rPr>
                <w:rFonts w:asciiTheme="minorEastAsia" w:eastAsiaTheme="minorEastAsia" w:hAnsiTheme="minorEastAsia" w:cs="宋体" w:hint="eastAsia"/>
                <w:sz w:val="21"/>
                <w:szCs w:val="21"/>
              </w:rPr>
            </w:pPr>
          </w:p>
          <w:p w:rsidR="00AB4287" w:rsidRPr="001B1772" w:rsidRDefault="00AB4287" w:rsidP="00AB4287">
            <w:pPr>
              <w:pStyle w:val="Default"/>
              <w:rPr>
                <w:rFonts w:asciiTheme="minorEastAsia" w:eastAsiaTheme="minorEastAsia" w:hAnsiTheme="minorEastAsia" w:cs="宋体" w:hint="eastAsia"/>
                <w:sz w:val="21"/>
                <w:szCs w:val="21"/>
              </w:rPr>
            </w:pPr>
            <w:r w:rsidRPr="001B1772">
              <w:rPr>
                <w:rFonts w:asciiTheme="minorEastAsia" w:eastAsiaTheme="minorEastAsia" w:hAnsiTheme="minorEastAsia" w:cs="宋体" w:hint="eastAsia"/>
                <w:sz w:val="21"/>
                <w:szCs w:val="21"/>
              </w:rPr>
              <w:t>采样模式：选配采样泵时具有。采样模式包括了仪器在线采样，干吹，解析，进样，清洗五个过程。采样时采样泵将样品气抽取到</w:t>
            </w:r>
            <w:r w:rsidRPr="001B1772">
              <w:rPr>
                <w:rFonts w:asciiTheme="minorEastAsia" w:eastAsiaTheme="minorEastAsia" w:hAnsiTheme="minorEastAsia" w:hint="eastAsia"/>
                <w:sz w:val="21"/>
                <w:szCs w:val="21"/>
              </w:rPr>
              <w:t>TD-50的</w:t>
            </w:r>
            <w:r w:rsidRPr="001B1772">
              <w:rPr>
                <w:rFonts w:asciiTheme="minorEastAsia" w:eastAsiaTheme="minorEastAsia" w:hAnsiTheme="minorEastAsia" w:cs="宋体" w:hint="eastAsia"/>
                <w:sz w:val="21"/>
                <w:szCs w:val="21"/>
              </w:rPr>
              <w:t>内部管路中，样品某些组分吸附在解析管上。对于未选配采样泵的</w:t>
            </w:r>
            <w:r w:rsidRPr="001B1772">
              <w:rPr>
                <w:rFonts w:asciiTheme="minorEastAsia" w:eastAsiaTheme="minorEastAsia" w:hAnsiTheme="minorEastAsia" w:hint="eastAsia"/>
                <w:sz w:val="21"/>
                <w:szCs w:val="21"/>
              </w:rPr>
              <w:t>TD-50</w:t>
            </w:r>
            <w:r w:rsidRPr="001B1772">
              <w:rPr>
                <w:rFonts w:asciiTheme="minorEastAsia" w:eastAsiaTheme="minorEastAsia" w:hAnsiTheme="minorEastAsia" w:cs="宋体" w:hint="eastAsia"/>
                <w:sz w:val="21"/>
                <w:szCs w:val="21"/>
              </w:rPr>
              <w:t>，采样任务是离线完成的。</w:t>
            </w:r>
          </w:p>
          <w:p w:rsidR="00AB4287" w:rsidRPr="001B1772" w:rsidRDefault="00AB4287" w:rsidP="00AB4287">
            <w:pPr>
              <w:pStyle w:val="Default"/>
              <w:rPr>
                <w:rFonts w:asciiTheme="minorEastAsia" w:eastAsiaTheme="minorEastAsia" w:hAnsiTheme="minorEastAsia" w:cs="宋体" w:hint="eastAsia"/>
                <w:sz w:val="21"/>
                <w:szCs w:val="21"/>
              </w:rPr>
            </w:pPr>
            <w:r w:rsidRPr="001B1772">
              <w:rPr>
                <w:rFonts w:asciiTheme="minorEastAsia" w:eastAsiaTheme="minorEastAsia" w:hAnsiTheme="minorEastAsia" w:cs="宋体" w:hint="eastAsia"/>
                <w:sz w:val="21"/>
                <w:szCs w:val="21"/>
              </w:rPr>
              <w:t xml:space="preserve"> </w:t>
            </w:r>
          </w:p>
          <w:p w:rsidR="00AB4287" w:rsidRPr="001B1772" w:rsidRDefault="00AB4287" w:rsidP="00AB4287">
            <w:pPr>
              <w:rPr>
                <w:rFonts w:asciiTheme="minorEastAsia" w:hAnsiTheme="minorEastAsia" w:cs="宋体" w:hint="eastAsia"/>
                <w:szCs w:val="21"/>
              </w:rPr>
            </w:pPr>
            <w:r w:rsidRPr="001B1772">
              <w:rPr>
                <w:rFonts w:asciiTheme="minorEastAsia" w:hAnsiTheme="minorEastAsia" w:cs="宋体" w:hint="eastAsia"/>
                <w:szCs w:val="21"/>
              </w:rPr>
              <w:t>解析模式：解析模式包括仪器干吹，解析，进样，清洗四个过程。</w:t>
            </w:r>
            <w:r w:rsidRPr="001B1772">
              <w:rPr>
                <w:rFonts w:asciiTheme="minorEastAsia" w:hAnsiTheme="minorEastAsia" w:hint="eastAsia"/>
                <w:szCs w:val="21"/>
              </w:rPr>
              <w:t>自动检漏和</w:t>
            </w:r>
            <w:r w:rsidRPr="001B1772">
              <w:rPr>
                <w:rFonts w:asciiTheme="minorEastAsia" w:hAnsiTheme="minorEastAsia" w:cs="宋体" w:hint="eastAsia"/>
                <w:szCs w:val="21"/>
              </w:rPr>
              <w:t>在线采样不包括在内。</w:t>
            </w:r>
          </w:p>
          <w:p w:rsidR="00AB4287" w:rsidRPr="001B1772" w:rsidRDefault="00AB4287" w:rsidP="00AB4287">
            <w:pPr>
              <w:rPr>
                <w:rFonts w:asciiTheme="minorEastAsia" w:hAnsiTheme="minorEastAsia" w:hint="eastAsia"/>
                <w:szCs w:val="21"/>
              </w:rPr>
            </w:pPr>
            <w:r w:rsidRPr="001B1772">
              <w:rPr>
                <w:rFonts w:asciiTheme="minorEastAsia" w:hAnsiTheme="minorEastAsia" w:hint="eastAsia"/>
                <w:szCs w:val="21"/>
              </w:rPr>
              <w:t>自动检漏：选配EPC时具有。将添加自动检漏功能，该功能将排列在上述两种模式的最前面即干吹过程之前。</w:t>
            </w:r>
          </w:p>
          <w:p w:rsidR="00AB4287" w:rsidRPr="001B1772" w:rsidRDefault="00AB4287" w:rsidP="00AB4287">
            <w:pPr>
              <w:rPr>
                <w:rFonts w:asciiTheme="minorEastAsia" w:hAnsiTheme="minorEastAsia" w:hint="eastAsia"/>
                <w:szCs w:val="21"/>
              </w:rPr>
            </w:pPr>
          </w:p>
          <w:p w:rsidR="00AB4287" w:rsidRPr="001B1772" w:rsidRDefault="00AB4287" w:rsidP="00AB4287">
            <w:pPr>
              <w:rPr>
                <w:rFonts w:asciiTheme="minorEastAsia" w:hAnsiTheme="minorEastAsia" w:cs="宋体" w:hint="eastAsia"/>
                <w:szCs w:val="21"/>
              </w:rPr>
            </w:pPr>
            <w:r w:rsidRPr="001B1772">
              <w:rPr>
                <w:rFonts w:asciiTheme="minorEastAsia" w:hAnsiTheme="minorEastAsia" w:cs="宋体" w:hint="eastAsia"/>
                <w:szCs w:val="21"/>
              </w:rPr>
              <w:t>老化模式：老化并不是样品分析过程中的一个环节。在长时间或者多次运行样品后，解析管效能可能会下降，需要采用较长时间的高温烘烤来清除解析管和仪器内的水汽和残留的污染物，使吸附能力恢复到较好的状态。</w:t>
            </w:r>
          </w:p>
          <w:p w:rsidR="00AB4287" w:rsidRPr="001B1772" w:rsidRDefault="00AB4287" w:rsidP="00AB4287">
            <w:pPr>
              <w:rPr>
                <w:rFonts w:asciiTheme="minorEastAsia" w:hAnsiTheme="minorEastAsia" w:hint="eastAsia"/>
                <w:szCs w:val="21"/>
              </w:rPr>
            </w:pPr>
          </w:p>
          <w:p w:rsidR="00AB4287" w:rsidRPr="001B1772" w:rsidRDefault="00AB4287" w:rsidP="00AB4287">
            <w:pPr>
              <w:rPr>
                <w:rFonts w:asciiTheme="minorEastAsia" w:hAnsiTheme="minorEastAsia" w:hint="eastAsia"/>
                <w:szCs w:val="21"/>
              </w:rPr>
            </w:pPr>
            <w:r w:rsidRPr="001B1772">
              <w:rPr>
                <w:rFonts w:asciiTheme="minorEastAsia" w:hAnsiTheme="minorEastAsia" w:hint="eastAsia"/>
                <w:szCs w:val="21"/>
              </w:rPr>
              <w:t>解析&amp; 进样：通过设置进样模式可以选择分离或者是合并解析阶段和进样阶段。二者分离时：在解析阶段，仪器将在关闭吸附管中载气流量的情况下，对吸附管进行加热解析。此时由于吸附管处于近似密闭状态，受热解析出的组分会充满吸附管内的腔体中，等待进样。用户可以通过设置解析时间来设定解析阶段的时间。 这种模式可以有效地减小轻质组分样品的色谱峰宽度，从而提高轻质组分分析的灵敏度。当解析阶段与进样阶段合并时，吸附管的温度阶升将与进样模式同时开始。吸附管内的组分会在解析的同时注射到色谱仪的进样口中。对于沸点较高的目标分析物，采用这种模式可以减小残留。</w:t>
            </w:r>
          </w:p>
          <w:p w:rsidR="00AB4287" w:rsidRPr="001B1772" w:rsidRDefault="00AB4287" w:rsidP="003F4818">
            <w:pPr>
              <w:pStyle w:val="a5"/>
              <w:ind w:left="0" w:firstLine="0"/>
              <w:rPr>
                <w:rFonts w:asciiTheme="minorEastAsia" w:eastAsiaTheme="minorEastAsia" w:hAnsiTheme="minorEastAsia" w:hint="eastAsia"/>
                <w:sz w:val="21"/>
                <w:szCs w:val="21"/>
                <w:lang w:val="en-US"/>
              </w:rPr>
            </w:pPr>
          </w:p>
        </w:tc>
      </w:tr>
    </w:tbl>
    <w:p w:rsidR="003F4818" w:rsidRPr="001B1772" w:rsidRDefault="003F4818" w:rsidP="003F4818">
      <w:pPr>
        <w:pStyle w:val="a5"/>
        <w:rPr>
          <w:rFonts w:ascii="方正兰亭超细黑简体" w:eastAsia="方正兰亭超细黑简体" w:hAnsiTheme="majorEastAsia" w:hint="eastAsia"/>
          <w:sz w:val="22"/>
          <w:szCs w:val="22"/>
          <w:lang w:val="en-US"/>
        </w:rPr>
      </w:pPr>
      <w:r w:rsidRPr="001B1772">
        <w:rPr>
          <w:rFonts w:ascii="方正兰亭超细黑简体" w:eastAsia="方正兰亭超细黑简体" w:hAnsiTheme="majorEastAsia" w:hint="eastAsia"/>
          <w:sz w:val="22"/>
          <w:szCs w:val="22"/>
          <w:lang w:val="en-US"/>
        </w:rPr>
        <w:t xml:space="preserve">   </w:t>
      </w:r>
    </w:p>
    <w:sectPr w:rsidR="003F4818" w:rsidRPr="001B1772" w:rsidSect="00B620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B6B" w:rsidRDefault="007C5B6B" w:rsidP="003F4818">
      <w:r>
        <w:separator/>
      </w:r>
    </w:p>
  </w:endnote>
  <w:endnote w:type="continuationSeparator" w:id="0">
    <w:p w:rsidR="007C5B6B" w:rsidRDefault="007C5B6B" w:rsidP="003F4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中等线_GBK">
    <w:altName w:val="方正兰亭超细黑简体"/>
    <w:panose1 w:val="00000000000000000000"/>
    <w:charset w:val="86"/>
    <w:family w:val="auto"/>
    <w:notTrueType/>
    <w:pitch w:val="default"/>
    <w:sig w:usb0="00000001" w:usb1="080E0000" w:usb2="00000010" w:usb3="00000000" w:csb0="00040000" w:csb1="00000000"/>
  </w:font>
  <w:font w:name="Agilent TT Cond">
    <w:altName w:val="Arial Unicode MS"/>
    <w:panose1 w:val="00000000000000000000"/>
    <w:charset w:val="86"/>
    <w:family w:val="swiss"/>
    <w:notTrueType/>
    <w:pitch w:val="default"/>
    <w:sig w:usb0="00000001" w:usb1="080E0000" w:usb2="00000010" w:usb3="00000000" w:csb0="00040000" w:csb1="00000000"/>
  </w:font>
  <w:font w:name="方正兰亭超细黑简体">
    <w:panose1 w:val="02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中等线_GBK Regular">
    <w:altName w:val="方正兰亭超细黑简体"/>
    <w:panose1 w:val="00000000000000000000"/>
    <w:charset w:val="86"/>
    <w:family w:val="auto"/>
    <w:notTrueType/>
    <w:pitch w:val="default"/>
    <w:sig w:usb0="00000001" w:usb1="080E0000" w:usb2="00000010" w:usb3="00000000" w:csb0="00040000" w:csb1="00000000"/>
  </w:font>
  <w:font w:name="方正兰亭细黑_GBK">
    <w:altName w:val="Arial Unicode MS"/>
    <w:charset w:val="86"/>
    <w:family w:val="auto"/>
    <w:pitch w:val="variable"/>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B6B" w:rsidRDefault="007C5B6B" w:rsidP="003F4818">
      <w:r>
        <w:separator/>
      </w:r>
    </w:p>
  </w:footnote>
  <w:footnote w:type="continuationSeparator" w:id="0">
    <w:p w:rsidR="007C5B6B" w:rsidRDefault="007C5B6B" w:rsidP="003F48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4818"/>
    <w:rsid w:val="001B1772"/>
    <w:rsid w:val="002241B1"/>
    <w:rsid w:val="00242AC8"/>
    <w:rsid w:val="003F4818"/>
    <w:rsid w:val="00626F6E"/>
    <w:rsid w:val="00646514"/>
    <w:rsid w:val="007C5B6B"/>
    <w:rsid w:val="00905BD4"/>
    <w:rsid w:val="00A25162"/>
    <w:rsid w:val="00AB4287"/>
    <w:rsid w:val="00B30A72"/>
    <w:rsid w:val="00B62050"/>
    <w:rsid w:val="00C06435"/>
    <w:rsid w:val="00CC5976"/>
    <w:rsid w:val="00DC3722"/>
    <w:rsid w:val="00FD7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48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4818"/>
    <w:rPr>
      <w:sz w:val="18"/>
      <w:szCs w:val="18"/>
    </w:rPr>
  </w:style>
  <w:style w:type="paragraph" w:styleId="a4">
    <w:name w:val="footer"/>
    <w:basedOn w:val="a"/>
    <w:link w:val="Char0"/>
    <w:uiPriority w:val="99"/>
    <w:semiHidden/>
    <w:unhideWhenUsed/>
    <w:rsid w:val="003F48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4818"/>
    <w:rPr>
      <w:sz w:val="18"/>
      <w:szCs w:val="18"/>
    </w:rPr>
  </w:style>
  <w:style w:type="paragraph" w:customStyle="1" w:styleId="a5">
    <w:name w:val="点"/>
    <w:basedOn w:val="a"/>
    <w:uiPriority w:val="99"/>
    <w:rsid w:val="003F4818"/>
    <w:pPr>
      <w:tabs>
        <w:tab w:val="left" w:pos="283"/>
      </w:tabs>
      <w:autoSpaceDE w:val="0"/>
      <w:autoSpaceDN w:val="0"/>
      <w:adjustRightInd w:val="0"/>
      <w:spacing w:line="360" w:lineRule="atLeast"/>
      <w:ind w:left="283" w:hanging="283"/>
      <w:textAlignment w:val="center"/>
    </w:pPr>
    <w:rPr>
      <w:rFonts w:ascii="方正中等线_GBK" w:eastAsia="方正中等线_GBK" w:cs="方正中等线_GBK"/>
      <w:color w:val="000000"/>
      <w:kern w:val="0"/>
      <w:sz w:val="19"/>
      <w:szCs w:val="19"/>
      <w:lang w:val="zh-CN"/>
    </w:rPr>
  </w:style>
  <w:style w:type="paragraph" w:customStyle="1" w:styleId="Default">
    <w:name w:val="Default"/>
    <w:rsid w:val="003F4818"/>
    <w:pPr>
      <w:widowControl w:val="0"/>
      <w:autoSpaceDE w:val="0"/>
      <w:autoSpaceDN w:val="0"/>
      <w:adjustRightInd w:val="0"/>
    </w:pPr>
    <w:rPr>
      <w:rFonts w:ascii="Agilent TT Cond" w:eastAsia="Agilent TT Cond" w:cs="Agilent TT Cond"/>
      <w:color w:val="000000"/>
      <w:kern w:val="0"/>
      <w:sz w:val="24"/>
      <w:szCs w:val="24"/>
    </w:rPr>
  </w:style>
  <w:style w:type="paragraph" w:styleId="a6">
    <w:name w:val="Balloon Text"/>
    <w:basedOn w:val="a"/>
    <w:link w:val="Char1"/>
    <w:uiPriority w:val="99"/>
    <w:semiHidden/>
    <w:unhideWhenUsed/>
    <w:rsid w:val="00242AC8"/>
    <w:rPr>
      <w:sz w:val="18"/>
      <w:szCs w:val="18"/>
    </w:rPr>
  </w:style>
  <w:style w:type="character" w:customStyle="1" w:styleId="Char1">
    <w:name w:val="批注框文本 Char"/>
    <w:basedOn w:val="a0"/>
    <w:link w:val="a6"/>
    <w:uiPriority w:val="99"/>
    <w:semiHidden/>
    <w:rsid w:val="00242AC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6</cp:revision>
  <dcterms:created xsi:type="dcterms:W3CDTF">2015-11-05T07:56:00Z</dcterms:created>
  <dcterms:modified xsi:type="dcterms:W3CDTF">2015-11-05T10:07:00Z</dcterms:modified>
</cp:coreProperties>
</file>