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5" w:rsidRDefault="004A4489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LumiStation-1700L</w:t>
      </w:r>
      <w:r>
        <w:rPr>
          <w:rFonts w:ascii="Times New Roman" w:hAnsiTheme="minorEastAsia" w:cs="Times New Roman"/>
          <w:b/>
          <w:bCs/>
          <w:color w:val="000000"/>
          <w:kern w:val="0"/>
          <w:sz w:val="30"/>
          <w:szCs w:val="30"/>
        </w:rPr>
        <w:t>型高通量辉光型化学发光酶标仪</w:t>
      </w:r>
    </w:p>
    <w:p w:rsidR="00246A85" w:rsidRDefault="004A4489">
      <w:pPr>
        <w:widowControl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1"/>
        </w:rPr>
        <w:t>----</w:t>
      </w:r>
      <w:r>
        <w:rPr>
          <w:rFonts w:ascii="Times New Roman" w:hAnsiTheme="minorEastAsia" w:cs="Times New Roman"/>
          <w:b/>
          <w:bCs/>
          <w:color w:val="000000"/>
          <w:kern w:val="0"/>
          <w:szCs w:val="21"/>
        </w:rPr>
        <w:t>专为辉光化学发光研究而打造</w:t>
      </w:r>
    </w:p>
    <w:p w:rsidR="00246A85" w:rsidRDefault="004A4489">
      <w:pPr>
        <w:widowControl/>
        <w:wordWrap w:val="0"/>
        <w:ind w:firstLineChars="200" w:firstLine="422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Theme="minorEastAsia" w:cs="Times New Roman"/>
          <w:b/>
          <w:bCs/>
          <w:szCs w:val="21"/>
        </w:rPr>
        <w:t>做好检测的核心业务，其余的事情由更专业的设备去做</w:t>
      </w:r>
    </w:p>
    <w:p w:rsidR="00246A85" w:rsidRDefault="004A4489">
      <w:pPr>
        <w:widowControl/>
        <w:wordWrap w:val="0"/>
        <w:ind w:firstLineChars="200" w:firstLine="422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Theme="minorEastAsia" w:cs="Times New Roman"/>
          <w:b/>
          <w:bCs/>
          <w:szCs w:val="21"/>
        </w:rPr>
        <w:t>高通量分析来自于对检测功能的专注</w:t>
      </w:r>
    </w:p>
    <w:p w:rsidR="00246A85" w:rsidRDefault="004A4489">
      <w:pPr>
        <w:widowControl/>
        <w:wordWrap w:val="0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上海闪谱生物科技有限公司成立于中国科学院上海生物工程中心，与复旦大学、上海交通大学有着良好的合作关系，是一家致力于为生命科学和药物研发工作者提供专业的、高精度、高通量、高性能的微孔板测读分析仪和液体操作系统的厂商，是国内领先的研究级化学发光酶标仪生产商，</w:t>
      </w:r>
      <w:r>
        <w:rPr>
          <w:rFonts w:ascii="Times New Roman" w:hAnsiTheme="minorEastAsia" w:cs="Times New Roman"/>
          <w:color w:val="000000"/>
          <w:kern w:val="0"/>
          <w:szCs w:val="21"/>
        </w:rPr>
        <w:t>下属的</w:t>
      </w:r>
      <w:r>
        <w:rPr>
          <w:rFonts w:ascii="Times New Roman" w:hAnsi="Times New Roman" w:cs="Times New Roman"/>
          <w:color w:val="000000"/>
          <w:kern w:val="0"/>
          <w:szCs w:val="21"/>
        </w:rPr>
        <w:t>Limitation</w:t>
      </w:r>
      <w:r>
        <w:rPr>
          <w:rFonts w:ascii="Times New Roman" w:hAnsiTheme="minorEastAsia" w:cs="Times New Roman"/>
          <w:color w:val="000000"/>
          <w:kern w:val="0"/>
          <w:szCs w:val="21"/>
        </w:rPr>
        <w:t>品牌致力于为临床诊断、生命科学和药物研发工作者提供专业的、高精度、高通量、高性能的化学发光分析系统，拥有该领域的核心技术，系列产品可以广泛应用于临床诊断、药物筛选、分子生物学、免疫学、细胞学、环境分析、食品检测等多个领域，是国内最专业的化学发光仪器生产厂商。</w:t>
      </w:r>
      <w:r>
        <w:rPr>
          <w:rFonts w:ascii="Times New Roman" w:hAnsi="Times New Roman" w:cs="Times New Roman"/>
          <w:color w:val="000000"/>
          <w:kern w:val="0"/>
          <w:szCs w:val="21"/>
        </w:rPr>
        <w:t>Limitation</w:t>
      </w:r>
      <w:r>
        <w:rPr>
          <w:rFonts w:ascii="Times New Roman" w:hAnsiTheme="minorEastAsia" w:cs="Times New Roman"/>
          <w:color w:val="000000"/>
          <w:kern w:val="0"/>
          <w:szCs w:val="21"/>
        </w:rPr>
        <w:t>型化学发光微孔板读板机专为生物化学发光研究工作而打造，</w:t>
      </w:r>
      <w:r>
        <w:rPr>
          <w:rFonts w:ascii="Times New Roman" w:hAnsiTheme="minorEastAsia" w:cs="Times New Roman"/>
          <w:szCs w:val="21"/>
        </w:rPr>
        <w:t>完全可以取代进口产品，是化学发光研究与检测的最佳选择。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1"/>
        </w:rPr>
        <w:t>Limitation-1700L</w:t>
      </w:r>
      <w:r>
        <w:rPr>
          <w:rFonts w:ascii="Times New Roman" w:hAnsiTheme="minorEastAsia" w:cs="Times New Roman"/>
          <w:b/>
          <w:bCs/>
          <w:color w:val="000000"/>
          <w:kern w:val="0"/>
          <w:szCs w:val="21"/>
        </w:rPr>
        <w:t>型主要特点</w:t>
      </w:r>
      <w:r>
        <w:rPr>
          <w:rFonts w:ascii="Times New Roman" w:hAnsi="Times New Roman" w:cs="Times New Roman"/>
          <w:b/>
          <w:bCs/>
          <w:color w:val="000000"/>
          <w:kern w:val="0"/>
          <w:szCs w:val="21"/>
        </w:rPr>
        <w:br/>
      </w:r>
      <w:r>
        <w:rPr>
          <w:rFonts w:ascii="Times New Roman" w:hAnsi="Times New Roman" w:cs="Times New Roman"/>
          <w:color w:val="000000"/>
          <w:kern w:val="0"/>
          <w:szCs w:val="21"/>
        </w:rPr>
        <w:t>1</w:t>
      </w:r>
      <w:r>
        <w:rPr>
          <w:rFonts w:ascii="Times New Roman" w:hAnsiTheme="minorEastAsia" w:cs="Times New Roman"/>
          <w:color w:val="000000"/>
          <w:kern w:val="0"/>
          <w:szCs w:val="21"/>
        </w:rPr>
        <w:t>、使用光子计数型光电倍增管，与进口顶级产品相同；</w:t>
      </w:r>
      <w:r>
        <w:rPr>
          <w:rFonts w:ascii="Times New Roman" w:hAnsi="Times New Roman" w:cs="Times New Roman"/>
          <w:color w:val="000000"/>
          <w:kern w:val="0"/>
          <w:szCs w:val="21"/>
        </w:rPr>
        <w:br/>
        <w:t>2</w:t>
      </w:r>
      <w:r>
        <w:rPr>
          <w:rFonts w:ascii="Times New Roman" w:hAnsiTheme="minorEastAsia" w:cs="Times New Roman"/>
          <w:color w:val="000000"/>
          <w:kern w:val="0"/>
          <w:szCs w:val="21"/>
        </w:rPr>
        <w:t>、噪音低、灵敏度高，动态范围大，跨度可达</w:t>
      </w:r>
      <w:r>
        <w:rPr>
          <w:rFonts w:ascii="Times New Roman" w:hAnsi="Times New Roman" w:cs="Times New Roman"/>
          <w:color w:val="000000"/>
          <w:kern w:val="0"/>
          <w:szCs w:val="21"/>
        </w:rPr>
        <w:t>8</w:t>
      </w:r>
      <w:r>
        <w:rPr>
          <w:rFonts w:ascii="Times New Roman" w:hAnsiTheme="minorEastAsia" w:cs="Times New Roman"/>
          <w:color w:val="000000"/>
          <w:kern w:val="0"/>
          <w:szCs w:val="21"/>
        </w:rPr>
        <w:t>个数量级；</w:t>
      </w:r>
      <w:r>
        <w:rPr>
          <w:rFonts w:ascii="Times New Roman" w:hAnsi="Times New Roman" w:cs="Times New Roman"/>
          <w:color w:val="000000"/>
          <w:kern w:val="0"/>
          <w:szCs w:val="21"/>
        </w:rPr>
        <w:br/>
        <w:t>3</w:t>
      </w:r>
      <w:r>
        <w:rPr>
          <w:rFonts w:ascii="Times New Roman" w:hAnsi="Times New Roman" w:cs="Times New Roman"/>
          <w:color w:val="000000"/>
          <w:kern w:val="0"/>
          <w:szCs w:val="21"/>
        </w:rPr>
        <w:t>、具有精准和可靠、可自动冲洗的注射泵加样器；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</w:t>
      </w:r>
      <w:r>
        <w:rPr>
          <w:rFonts w:ascii="Times New Roman" w:hAnsi="Times New Roman" w:cs="Times New Roman"/>
          <w:color w:val="000000"/>
          <w:kern w:val="0"/>
          <w:szCs w:val="21"/>
        </w:rPr>
        <w:t>、对各种</w:t>
      </w:r>
      <w:r>
        <w:rPr>
          <w:rFonts w:ascii="Times New Roman" w:hAnsi="Times New Roman" w:cs="Times New Roman"/>
          <w:color w:val="000000"/>
          <w:kern w:val="0"/>
          <w:szCs w:val="21"/>
        </w:rPr>
        <w:t>96</w:t>
      </w:r>
      <w:r>
        <w:rPr>
          <w:rFonts w:ascii="Times New Roman" w:hAnsi="Times New Roman" w:cs="Times New Roman"/>
          <w:color w:val="000000"/>
          <w:kern w:val="0"/>
          <w:szCs w:val="21"/>
        </w:rPr>
        <w:t>或</w:t>
      </w:r>
      <w:r>
        <w:rPr>
          <w:rFonts w:ascii="Times New Roman" w:hAnsi="Times New Roman" w:cs="Times New Roman"/>
          <w:color w:val="000000"/>
          <w:kern w:val="0"/>
          <w:szCs w:val="21"/>
        </w:rPr>
        <w:t>384</w:t>
      </w:r>
      <w:r>
        <w:rPr>
          <w:rFonts w:ascii="Times New Roman" w:hAnsi="Times New Roman" w:cs="Times New Roman"/>
          <w:color w:val="000000"/>
          <w:kern w:val="0"/>
          <w:szCs w:val="21"/>
        </w:rPr>
        <w:t>孔酶标板等都能得到准确的结果；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5</w:t>
      </w:r>
      <w:r>
        <w:rPr>
          <w:rFonts w:ascii="Times New Roman" w:hAnsi="Times New Roman" w:cs="Times New Roman"/>
          <w:color w:val="000000"/>
          <w:kern w:val="0"/>
          <w:szCs w:val="21"/>
        </w:rPr>
        <w:t>、完全满足快速、慢速、长时间动力学分析的要求；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6</w:t>
      </w:r>
      <w:r>
        <w:rPr>
          <w:rFonts w:ascii="Times New Roman" w:hAnsi="Times New Roman" w:cs="Times New Roman"/>
          <w:color w:val="000000"/>
          <w:kern w:val="0"/>
          <w:szCs w:val="21"/>
        </w:rPr>
        <w:t>、专注于辉光检测，可以扩展辉光比色皿组件；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7</w:t>
      </w:r>
      <w:r>
        <w:rPr>
          <w:rFonts w:ascii="Times New Roman" w:hAnsi="Times New Roman" w:cs="Times New Roman"/>
          <w:color w:val="000000"/>
          <w:kern w:val="0"/>
          <w:szCs w:val="21"/>
        </w:rPr>
        <w:t>、具有独特的光阱系统，防止光信号交叉干扰；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8</w:t>
      </w:r>
      <w:r>
        <w:rPr>
          <w:rFonts w:ascii="Times New Roman" w:hAnsi="Times New Roman" w:cs="Times New Roman"/>
          <w:color w:val="000000"/>
          <w:kern w:val="0"/>
          <w:szCs w:val="21"/>
        </w:rPr>
        <w:t>、标配孵育装置，可以在线孵育；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9</w:t>
      </w:r>
      <w:r>
        <w:rPr>
          <w:rFonts w:ascii="Times New Roman" w:hAnsi="Times New Roman" w:cs="Times New Roman"/>
          <w:color w:val="000000"/>
          <w:kern w:val="0"/>
          <w:szCs w:val="21"/>
        </w:rPr>
        <w:t>、标配震荡功能，可使用多种方式进行震荡；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10</w:t>
      </w:r>
      <w:r>
        <w:rPr>
          <w:rFonts w:ascii="Times New Roman" w:hAnsi="Times New Roman" w:cs="Times New Roman"/>
          <w:color w:val="000000"/>
          <w:kern w:val="0"/>
          <w:szCs w:val="21"/>
        </w:rPr>
        <w:t>、具有时间积分功能，既可以检测不同时段的辉光；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11</w:t>
      </w:r>
      <w:r>
        <w:rPr>
          <w:rFonts w:ascii="Times New Roman" w:hAnsi="Times New Roman" w:cs="Times New Roman"/>
          <w:color w:val="000000"/>
          <w:kern w:val="0"/>
          <w:szCs w:val="21"/>
        </w:rPr>
        <w:t>、适用于荧光素酶报告基因分析；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12</w:t>
      </w:r>
      <w:r>
        <w:rPr>
          <w:rFonts w:ascii="Times New Roman" w:hAnsi="Times New Roman" w:cs="Times New Roman"/>
          <w:color w:val="000000"/>
          <w:kern w:val="0"/>
          <w:szCs w:val="21"/>
        </w:rPr>
        <w:t>、适用于发光底物的免疫</w:t>
      </w:r>
      <w:r>
        <w:rPr>
          <w:rFonts w:ascii="Times New Roman" w:hAnsi="Times New Roman" w:cs="Times New Roman"/>
          <w:color w:val="000000"/>
          <w:kern w:val="0"/>
          <w:szCs w:val="21"/>
        </w:rPr>
        <w:t>ELISAs</w:t>
      </w:r>
      <w:r>
        <w:rPr>
          <w:rFonts w:ascii="Times New Roman" w:hAnsi="Times New Roman" w:cs="Times New Roman"/>
          <w:color w:val="000000"/>
          <w:kern w:val="0"/>
          <w:szCs w:val="21"/>
        </w:rPr>
        <w:t>分析；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13</w:t>
      </w:r>
      <w:r>
        <w:rPr>
          <w:rFonts w:ascii="Times New Roman" w:hAnsi="Times New Roman" w:cs="Times New Roman"/>
          <w:color w:val="000000"/>
          <w:kern w:val="0"/>
          <w:szCs w:val="21"/>
        </w:rPr>
        <w:t>、适用于细胞增殖与毒性分析；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14</w:t>
      </w:r>
      <w:r>
        <w:rPr>
          <w:rFonts w:ascii="Times New Roman" w:hAnsi="Times New Roman" w:cs="Times New Roman"/>
          <w:color w:val="000000"/>
          <w:kern w:val="0"/>
          <w:szCs w:val="21"/>
        </w:rPr>
        <w:t>、适用于细胞内</w:t>
      </w:r>
      <w:r>
        <w:rPr>
          <w:rFonts w:ascii="Times New Roman" w:hAnsi="Times New Roman" w:cs="Times New Roman"/>
          <w:color w:val="000000"/>
          <w:kern w:val="0"/>
          <w:szCs w:val="21"/>
        </w:rPr>
        <w:t>Ca2+</w:t>
      </w:r>
      <w:r>
        <w:rPr>
          <w:rFonts w:ascii="Times New Roman" w:hAnsi="Times New Roman" w:cs="Times New Roman"/>
          <w:color w:val="000000"/>
          <w:kern w:val="0"/>
          <w:szCs w:val="21"/>
        </w:rPr>
        <w:t>检测；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15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适用于</w:t>
      </w:r>
      <w:r>
        <w:rPr>
          <w:rFonts w:ascii="Times New Roman" w:hAnsi="Times New Roman" w:cs="Times New Roman"/>
          <w:color w:val="000000"/>
          <w:kern w:val="0"/>
          <w:szCs w:val="21"/>
        </w:rPr>
        <w:t>DNA</w:t>
      </w:r>
      <w:r>
        <w:rPr>
          <w:rFonts w:ascii="Times New Roman" w:hAnsi="Times New Roman" w:cs="Times New Roman"/>
          <w:color w:val="000000"/>
          <w:kern w:val="0"/>
          <w:szCs w:val="21"/>
        </w:rPr>
        <w:t>定量分析；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16</w:t>
      </w:r>
      <w:r>
        <w:rPr>
          <w:rFonts w:ascii="Times New Roman" w:hAnsi="Times New Roman" w:cs="Times New Roman"/>
          <w:color w:val="000000"/>
          <w:kern w:val="0"/>
          <w:szCs w:val="21"/>
        </w:rPr>
        <w:t>、适用于</w:t>
      </w:r>
      <w:r>
        <w:rPr>
          <w:rFonts w:ascii="Times New Roman" w:hAnsi="Times New Roman" w:cs="Times New Roman"/>
          <w:color w:val="000000"/>
          <w:kern w:val="0"/>
          <w:szCs w:val="21"/>
        </w:rPr>
        <w:t>ATP</w:t>
      </w:r>
      <w:r>
        <w:rPr>
          <w:rFonts w:ascii="Times New Roman" w:hAnsi="Times New Roman" w:cs="Times New Roman"/>
          <w:color w:val="000000"/>
          <w:kern w:val="0"/>
          <w:szCs w:val="21"/>
        </w:rPr>
        <w:t>分析；</w:t>
      </w:r>
    </w:p>
    <w:p w:rsidR="00246A85" w:rsidRDefault="004A4489">
      <w:pPr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17</w:t>
      </w:r>
      <w:r>
        <w:rPr>
          <w:rFonts w:ascii="Times New Roman" w:hAnsi="Times New Roman" w:cs="Times New Roman"/>
          <w:color w:val="000000"/>
          <w:kern w:val="0"/>
          <w:szCs w:val="21"/>
        </w:rPr>
        <w:t>、适用于酶活性分析；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18</w:t>
      </w:r>
      <w:r>
        <w:rPr>
          <w:rFonts w:ascii="Times New Roman" w:hAnsiTheme="minorEastAsia" w:cs="Times New Roman"/>
          <w:color w:val="000000"/>
          <w:kern w:val="0"/>
          <w:szCs w:val="21"/>
        </w:rPr>
        <w:t>、是用于微生物生长分析；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19</w:t>
      </w:r>
      <w:r>
        <w:rPr>
          <w:rFonts w:ascii="Times New Roman" w:hAnsiTheme="minorEastAsia" w:cs="Times New Roman"/>
          <w:color w:val="000000"/>
          <w:kern w:val="0"/>
          <w:szCs w:val="21"/>
        </w:rPr>
        <w:t>、适用于活性氧分析；</w:t>
      </w:r>
    </w:p>
    <w:p w:rsidR="00246A85" w:rsidRDefault="004A4489">
      <w:pPr>
        <w:widowControl/>
        <w:numPr>
          <w:ilvl w:val="0"/>
          <w:numId w:val="1"/>
        </w:numPr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Theme="minorEastAsia" w:cs="Times New Roman"/>
          <w:color w:val="000000"/>
          <w:kern w:val="0"/>
          <w:szCs w:val="21"/>
        </w:rPr>
        <w:t>适用于多药物耐药性分析；</w:t>
      </w:r>
    </w:p>
    <w:p w:rsidR="00246A85" w:rsidRDefault="004A4489">
      <w:pPr>
        <w:widowControl/>
        <w:numPr>
          <w:ilvl w:val="0"/>
          <w:numId w:val="1"/>
        </w:numPr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Theme="minorEastAsia" w:cs="Times New Roman"/>
          <w:color w:val="000000"/>
          <w:kern w:val="0"/>
          <w:szCs w:val="21"/>
        </w:rPr>
        <w:t>适用于吞噬细胞作用；</w:t>
      </w:r>
    </w:p>
    <w:p w:rsidR="00246A85" w:rsidRDefault="004A4489">
      <w:pPr>
        <w:widowControl/>
        <w:numPr>
          <w:ilvl w:val="0"/>
          <w:numId w:val="1"/>
        </w:numPr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Theme="minorEastAsia" w:cs="Times New Roman"/>
          <w:color w:val="000000"/>
          <w:kern w:val="0"/>
          <w:szCs w:val="21"/>
        </w:rPr>
        <w:t>适用于</w:t>
      </w:r>
      <w:r>
        <w:rPr>
          <w:rFonts w:ascii="Times New Roman" w:hAnsi="Times New Roman" w:cs="Times New Roman"/>
          <w:color w:val="000000"/>
          <w:kern w:val="0"/>
          <w:szCs w:val="21"/>
        </w:rPr>
        <w:t>BRET</w:t>
      </w:r>
      <w:r>
        <w:rPr>
          <w:rFonts w:ascii="Times New Roman" w:hAnsiTheme="minorEastAsia" w:cs="Times New Roman"/>
          <w:color w:val="000000"/>
          <w:kern w:val="0"/>
          <w:szCs w:val="21"/>
        </w:rPr>
        <w:t>和</w:t>
      </w:r>
      <w:r>
        <w:rPr>
          <w:rFonts w:ascii="Times New Roman" w:hAnsi="Times New Roman" w:cs="Times New Roman"/>
          <w:color w:val="000000"/>
          <w:kern w:val="0"/>
          <w:szCs w:val="21"/>
        </w:rPr>
        <w:t>BRET2</w:t>
      </w:r>
      <w:r>
        <w:rPr>
          <w:rFonts w:ascii="Times New Roman" w:hAnsiTheme="minorEastAsia" w:cs="Times New Roman"/>
          <w:color w:val="000000"/>
          <w:kern w:val="0"/>
          <w:szCs w:val="21"/>
        </w:rPr>
        <w:t>测定；</w:t>
      </w:r>
    </w:p>
    <w:p w:rsidR="00246A85" w:rsidRDefault="004A4489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Theme="minorEastAsia"/>
        </w:rPr>
        <w:t>具有功能强大的数据分析软件</w:t>
      </w:r>
      <w:r>
        <w:rPr>
          <w:rFonts w:ascii="Times New Roman" w:hAnsi="Times New Roman"/>
        </w:rPr>
        <w:t>S-Pro</w:t>
      </w:r>
      <w:r>
        <w:rPr>
          <w:rFonts w:ascii="Times New Roman" w:hAnsiTheme="minorEastAsia"/>
        </w:rPr>
        <w:t>微孔板分析工作站；</w:t>
      </w:r>
    </w:p>
    <w:p w:rsidR="00246A85" w:rsidRDefault="004A448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24</w:t>
      </w:r>
      <w:r>
        <w:rPr>
          <w:rFonts w:ascii="Times New Roman" w:hAnsiTheme="minorEastAsia" w:cs="Times New Roman" w:hint="eastAsia"/>
          <w:szCs w:val="21"/>
        </w:rPr>
        <w:t>、</w:t>
      </w:r>
      <w:r>
        <w:rPr>
          <w:rFonts w:ascii="Times New Roman" w:hAnsiTheme="minorEastAsia" w:cs="Times New Roman"/>
          <w:szCs w:val="21"/>
        </w:rPr>
        <w:t>具有样品与操作人员管理功能，便于仪器管理；</w:t>
      </w:r>
    </w:p>
    <w:p w:rsidR="00246A85" w:rsidRDefault="004A4489"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具有仪器参数设置与仪器自检功能，高度自动化；</w:t>
      </w:r>
    </w:p>
    <w:p w:rsidR="00246A85" w:rsidRDefault="004A4489"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使用</w:t>
      </w:r>
      <w:r>
        <w:rPr>
          <w:rFonts w:ascii="Times New Roman" w:hAnsi="Times New Roman" w:cs="Times New Roman"/>
          <w:szCs w:val="21"/>
        </w:rPr>
        <w:t>USB</w:t>
      </w:r>
      <w:r>
        <w:rPr>
          <w:rFonts w:ascii="Times New Roman" w:hAnsiTheme="minorEastAsia" w:cs="Times New Roman"/>
          <w:szCs w:val="21"/>
        </w:rPr>
        <w:t>数据接口，便于仪器控制与数据传输；</w:t>
      </w:r>
    </w:p>
    <w:p w:rsidR="00246A85" w:rsidRDefault="004A4489"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软件符合</w:t>
      </w:r>
      <w:r>
        <w:rPr>
          <w:rFonts w:ascii="Times New Roman" w:hAnsi="Times New Roman" w:cs="Times New Roman"/>
          <w:szCs w:val="21"/>
        </w:rPr>
        <w:t>IQ/OQ/PQ</w:t>
      </w:r>
      <w:r>
        <w:rPr>
          <w:rFonts w:ascii="Times New Roman" w:hAnsiTheme="minorEastAsia" w:cs="Times New Roman"/>
          <w:szCs w:val="21"/>
        </w:rPr>
        <w:t>，以及</w:t>
      </w:r>
      <w:r>
        <w:rPr>
          <w:rFonts w:ascii="Times New Roman" w:hAnsi="Times New Roman" w:cs="Times New Roman"/>
          <w:szCs w:val="21"/>
        </w:rPr>
        <w:t>FDA 21 CFR Part11</w:t>
      </w:r>
      <w:r>
        <w:rPr>
          <w:rFonts w:ascii="Times New Roman" w:hAnsiTheme="minorEastAsia" w:cs="Times New Roman"/>
          <w:szCs w:val="21"/>
        </w:rPr>
        <w:t>条款认证；</w:t>
      </w:r>
    </w:p>
    <w:p w:rsidR="00246A85" w:rsidRDefault="004A4489"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/>
          <w:szCs w:val="21"/>
        </w:rPr>
        <w:t>符合</w:t>
      </w:r>
      <w:r>
        <w:rPr>
          <w:rFonts w:ascii="Times New Roman" w:hAnsi="Times New Roman" w:cs="Times New Roman"/>
          <w:szCs w:val="21"/>
        </w:rPr>
        <w:t>GMP/GLP</w:t>
      </w:r>
      <w:r>
        <w:rPr>
          <w:rFonts w:ascii="Times New Roman" w:hAnsiTheme="minorEastAsia" w:cs="Times New Roman"/>
          <w:szCs w:val="21"/>
        </w:rPr>
        <w:t>要求，适用于药品食品分析；</w:t>
      </w:r>
    </w:p>
    <w:p w:rsidR="00246A85" w:rsidRDefault="004A448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29</w:t>
      </w:r>
      <w:r>
        <w:rPr>
          <w:rFonts w:ascii="Times New Roman" w:hAnsiTheme="minorEastAsia" w:cs="Times New Roman"/>
          <w:szCs w:val="21"/>
        </w:rPr>
        <w:t>、全中文界面，适合国内操作人员使用与教学；</w:t>
      </w:r>
    </w:p>
    <w:p w:rsidR="00246A85" w:rsidRDefault="004A448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30</w:t>
      </w:r>
      <w:r>
        <w:rPr>
          <w:rFonts w:ascii="Times New Roman" w:hAnsiTheme="minorEastAsia" w:cs="Times New Roman"/>
          <w:szCs w:val="21"/>
        </w:rPr>
        <w:t>、性能不低于进口同类产品，具有极高的性价比；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1"/>
        </w:rPr>
        <w:t>Limitation-1700L</w:t>
      </w:r>
      <w:r>
        <w:rPr>
          <w:rFonts w:ascii="Times New Roman" w:hAnsiTheme="minorEastAsia" w:cs="Times New Roman"/>
          <w:b/>
          <w:bCs/>
          <w:color w:val="000000"/>
          <w:kern w:val="0"/>
          <w:szCs w:val="21"/>
        </w:rPr>
        <w:t>型主要参数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</w:t>
      </w:r>
      <w:r>
        <w:rPr>
          <w:rFonts w:ascii="Times New Roman" w:hAnsiTheme="minorEastAsia" w:cs="Times New Roman"/>
          <w:color w:val="000000"/>
          <w:kern w:val="0"/>
          <w:szCs w:val="21"/>
        </w:rPr>
        <w:t>、波长范围：</w:t>
      </w:r>
      <w:r w:rsidR="00683D84">
        <w:rPr>
          <w:rFonts w:ascii="Times New Roman" w:hAnsi="Times New Roman" w:cs="Times New Roman"/>
          <w:color w:val="000000"/>
          <w:kern w:val="0"/>
          <w:szCs w:val="21"/>
        </w:rPr>
        <w:t>300nm</w:t>
      </w:r>
      <w:r w:rsidR="00683D84">
        <w:rPr>
          <w:rFonts w:ascii="Times New Roman" w:hAnsi="Times New Roman" w:cs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cs="Times New Roman"/>
          <w:color w:val="000000"/>
          <w:kern w:val="0"/>
          <w:szCs w:val="21"/>
        </w:rPr>
        <w:t>900nm</w:t>
      </w:r>
      <w:r>
        <w:rPr>
          <w:rFonts w:ascii="Times New Roman" w:hAnsiTheme="minorEastAsia" w:cs="Times New Roman"/>
          <w:color w:val="000000"/>
          <w:kern w:val="0"/>
          <w:szCs w:val="21"/>
        </w:rPr>
        <w:t>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2</w:t>
      </w:r>
      <w:r>
        <w:rPr>
          <w:rFonts w:ascii="Times New Roman" w:hAnsiTheme="minorEastAsia" w:cs="Times New Roman"/>
          <w:color w:val="000000"/>
          <w:kern w:val="0"/>
          <w:szCs w:val="21"/>
        </w:rPr>
        <w:t>、微孔板类型：</w:t>
      </w:r>
      <w:r>
        <w:rPr>
          <w:rFonts w:ascii="Times New Roman" w:hAnsi="Times New Roman" w:cs="Times New Roman"/>
          <w:color w:val="000000"/>
          <w:kern w:val="0"/>
          <w:szCs w:val="21"/>
        </w:rPr>
        <w:t>96</w:t>
      </w:r>
      <w:r>
        <w:rPr>
          <w:rFonts w:ascii="Times New Roman" w:hAnsiTheme="minorEastAsia" w:cs="Times New Roman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384</w:t>
      </w:r>
      <w:r>
        <w:rPr>
          <w:rFonts w:ascii="Times New Roman" w:hAnsiTheme="minorEastAsia" w:cs="Times New Roman"/>
          <w:color w:val="000000"/>
          <w:kern w:val="0"/>
          <w:szCs w:val="21"/>
        </w:rPr>
        <w:t>孔；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3</w:t>
      </w:r>
      <w:r>
        <w:rPr>
          <w:rFonts w:ascii="Times New Roman" w:hAnsiTheme="minorEastAsia" w:cs="Times New Roman"/>
          <w:color w:val="000000"/>
          <w:kern w:val="0"/>
          <w:szCs w:val="21"/>
        </w:rPr>
        <w:t>、读取模式：终点法、双读取模式、动力学、快速动力学；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</w:t>
      </w:r>
      <w:r>
        <w:rPr>
          <w:rFonts w:ascii="Times New Roman" w:hAnsiTheme="minorEastAsia" w:cs="Times New Roman"/>
          <w:color w:val="000000"/>
          <w:kern w:val="0"/>
          <w:szCs w:val="21"/>
        </w:rPr>
        <w:t>、灵敏度：</w:t>
      </w:r>
      <w:r>
        <w:rPr>
          <w:rFonts w:ascii="Times New Roman" w:hAnsi="Times New Roman" w:cs="Times New Roman"/>
          <w:color w:val="000000"/>
          <w:kern w:val="0"/>
          <w:szCs w:val="21"/>
        </w:rPr>
        <w:t>8amol ATP/</w:t>
      </w:r>
      <w:r>
        <w:rPr>
          <w:rFonts w:ascii="Times New Roman" w:hAnsiTheme="minorEastAsia" w:cs="Times New Roman"/>
          <w:color w:val="000000"/>
          <w:kern w:val="0"/>
          <w:szCs w:val="21"/>
        </w:rPr>
        <w:t>孔；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5</w:t>
      </w:r>
      <w:r>
        <w:rPr>
          <w:rFonts w:ascii="Times New Roman" w:hAnsiTheme="minorEastAsia" w:cs="Times New Roman"/>
          <w:color w:val="000000"/>
          <w:kern w:val="0"/>
          <w:szCs w:val="21"/>
        </w:rPr>
        <w:t>、振板方式：线性、圆周、十字震荡；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6</w:t>
      </w:r>
      <w:r>
        <w:rPr>
          <w:rFonts w:ascii="Times New Roman" w:hAnsiTheme="minorEastAsia" w:cs="Times New Roman"/>
          <w:color w:val="000000"/>
          <w:kern w:val="0"/>
          <w:szCs w:val="21"/>
        </w:rPr>
        <w:t>、温控范围：室温</w:t>
      </w:r>
      <w:r>
        <w:rPr>
          <w:rFonts w:ascii="Times New Roman" w:hAnsi="Times New Roman" w:cs="Times New Roman"/>
          <w:color w:val="000000"/>
          <w:kern w:val="0"/>
          <w:szCs w:val="21"/>
        </w:rPr>
        <w:t>+1</w:t>
      </w:r>
      <w:r>
        <w:rPr>
          <w:rFonts w:ascii="Times New Roman" w:hAnsiTheme="minorEastAsia" w:cs="Times New Roman"/>
          <w:color w:val="000000"/>
          <w:kern w:val="0"/>
          <w:szCs w:val="21"/>
        </w:rPr>
        <w:t>℃到</w:t>
      </w:r>
      <w:r>
        <w:rPr>
          <w:rFonts w:ascii="Times New Roman" w:hAnsi="Times New Roman" w:cs="Times New Roman"/>
          <w:color w:val="000000"/>
          <w:kern w:val="0"/>
          <w:szCs w:val="21"/>
        </w:rPr>
        <w:t>65</w:t>
      </w:r>
      <w:r>
        <w:rPr>
          <w:rFonts w:ascii="Times New Roman" w:hAnsiTheme="minorEastAsia" w:cs="Times New Roman"/>
          <w:color w:val="000000"/>
          <w:kern w:val="0"/>
          <w:szCs w:val="21"/>
        </w:rPr>
        <w:t>℃；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7</w:t>
      </w:r>
      <w:r>
        <w:rPr>
          <w:rFonts w:ascii="Times New Roman" w:hAnsiTheme="minorEastAsia" w:cs="Times New Roman"/>
          <w:color w:val="000000"/>
          <w:kern w:val="0"/>
          <w:szCs w:val="21"/>
        </w:rPr>
        <w:t>、检测器：光子计数光电倍增管；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8</w:t>
      </w:r>
      <w:r>
        <w:rPr>
          <w:rFonts w:ascii="Times New Roman" w:hAnsiTheme="minorEastAsia" w:cs="Times New Roman"/>
          <w:color w:val="000000"/>
          <w:kern w:val="0"/>
          <w:szCs w:val="21"/>
        </w:rPr>
        <w:t>、检测时间：</w:t>
      </w:r>
      <w:r>
        <w:rPr>
          <w:rFonts w:ascii="Times New Roman" w:hAnsi="Times New Roman" w:cs="Times New Roman"/>
          <w:color w:val="000000"/>
          <w:kern w:val="0"/>
          <w:szCs w:val="21"/>
        </w:rPr>
        <w:t>1ms~1200s</w:t>
      </w:r>
      <w:r>
        <w:rPr>
          <w:rFonts w:ascii="Times New Roman" w:hAnsiTheme="minorEastAsia" w:cs="Times New Roman"/>
          <w:color w:val="231815"/>
          <w:kern w:val="0"/>
          <w:szCs w:val="21"/>
        </w:rPr>
        <w:t>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1"/>
        </w:rPr>
        <w:t>Limitation-1700L</w:t>
      </w:r>
      <w:r>
        <w:rPr>
          <w:rFonts w:ascii="Times New Roman" w:hAnsiTheme="minorEastAsia" w:cs="Times New Roman"/>
          <w:b/>
          <w:bCs/>
          <w:color w:val="000000"/>
          <w:kern w:val="0"/>
          <w:szCs w:val="21"/>
        </w:rPr>
        <w:t>型主要组成</w:t>
      </w:r>
      <w:r>
        <w:rPr>
          <w:rFonts w:ascii="Times New Roman" w:hAnsi="Times New Roman" w:cs="Times New Roman"/>
          <w:color w:val="000000"/>
          <w:kern w:val="0"/>
          <w:szCs w:val="21"/>
        </w:rPr>
        <w:br/>
        <w:t>1</w:t>
      </w:r>
      <w:r>
        <w:rPr>
          <w:rFonts w:ascii="Times New Roman" w:hAnsiTheme="minorEastAsia" w:cs="Times New Roman"/>
          <w:color w:val="000000"/>
          <w:kern w:val="0"/>
          <w:szCs w:val="21"/>
        </w:rPr>
        <w:t>、主机（包括单光子检测器、微孔板载物台、加样泵）</w:t>
      </w:r>
      <w:r>
        <w:rPr>
          <w:rFonts w:ascii="Times New Roman" w:hAnsi="Times New Roman" w:cs="Times New Roman"/>
          <w:color w:val="000000"/>
          <w:kern w:val="0"/>
          <w:szCs w:val="21"/>
        </w:rPr>
        <w:t>;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2</w:t>
      </w:r>
      <w:r>
        <w:rPr>
          <w:rFonts w:ascii="Times New Roman" w:hAnsiTheme="minorEastAsia" w:cs="Times New Roman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S-Pro1700L</w:t>
      </w:r>
      <w:r>
        <w:rPr>
          <w:rFonts w:ascii="Times New Roman" w:hAnsiTheme="minorEastAsia" w:cs="Times New Roman"/>
          <w:color w:val="000000"/>
          <w:kern w:val="0"/>
          <w:szCs w:val="21"/>
        </w:rPr>
        <w:t>分析软件；</w:t>
      </w:r>
    </w:p>
    <w:p w:rsidR="00246A85" w:rsidRDefault="004A4489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Theme="minorEastAsia" w:cs="Times New Roman"/>
          <w:b/>
          <w:bCs/>
          <w:szCs w:val="21"/>
        </w:rPr>
        <w:t>仪器附件（选配）</w:t>
      </w:r>
    </w:p>
    <w:p w:rsidR="00246A85" w:rsidRDefault="004A4489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MF-10</w:t>
      </w:r>
      <w:r>
        <w:rPr>
          <w:rFonts w:ascii="Times New Roman" w:hAnsiTheme="minorEastAsia"/>
        </w:rPr>
        <w:t>型孵育振荡仪</w:t>
      </w:r>
      <w:r>
        <w:rPr>
          <w:rFonts w:ascii="Times New Roman" w:hAnsi="Times New Roman"/>
        </w:rPr>
        <w:t>;</w:t>
      </w:r>
    </w:p>
    <w:p w:rsidR="00246A85" w:rsidRDefault="004A4489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MX-10</w:t>
      </w:r>
      <w:r>
        <w:rPr>
          <w:rFonts w:ascii="Times New Roman" w:hAnsiTheme="minorEastAsia"/>
        </w:rPr>
        <w:t>型多功能洗板机；</w:t>
      </w:r>
    </w:p>
    <w:p w:rsidR="00246A85" w:rsidRDefault="004A4489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ND-10</w:t>
      </w:r>
      <w:r>
        <w:rPr>
          <w:rFonts w:ascii="Times New Roman" w:hAnsiTheme="minorEastAsia"/>
        </w:rPr>
        <w:t>型微量检测板；</w:t>
      </w:r>
    </w:p>
    <w:p w:rsidR="00246A85" w:rsidRDefault="004A448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4</w:t>
      </w:r>
      <w:r>
        <w:rPr>
          <w:rFonts w:ascii="Times New Roman" w:hAnsiTheme="minorEastAsia" w:cs="Times New Roman" w:hint="eastAsia"/>
          <w:szCs w:val="21"/>
        </w:rPr>
        <w:t>、</w:t>
      </w:r>
      <w:r>
        <w:rPr>
          <w:rFonts w:ascii="Times New Roman" w:hAnsiTheme="minorEastAsia" w:cs="Times New Roman"/>
          <w:szCs w:val="21"/>
        </w:rPr>
        <w:t>辉光发光比色皿适配组件；</w:t>
      </w:r>
    </w:p>
    <w:p w:rsidR="00246A85" w:rsidRDefault="004A4489">
      <w:pPr>
        <w:widowControl/>
        <w:wordWrap w:val="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1"/>
        </w:rPr>
        <w:t>Limitation-1700L</w:t>
      </w:r>
      <w:r>
        <w:rPr>
          <w:rFonts w:ascii="Times New Roman" w:hAnsiTheme="minorEastAsia" w:cs="Times New Roman"/>
          <w:b/>
          <w:bCs/>
          <w:color w:val="000000"/>
          <w:kern w:val="0"/>
          <w:szCs w:val="21"/>
        </w:rPr>
        <w:t>型软件界面</w:t>
      </w:r>
    </w:p>
    <w:p w:rsidR="00246A85" w:rsidRDefault="00246A85">
      <w:pPr>
        <w:widowControl/>
        <w:wordWrap w:val="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 w:rsidR="00246A85" w:rsidRDefault="00A3057A">
      <w:pPr>
        <w:widowControl/>
        <w:wordWrap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2787760" cy="2165498"/>
            <wp:effectExtent l="19050" t="0" r="0" b="0"/>
            <wp:docPr id="1" name="图片 0" descr="圆孔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圆孔平面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690" cy="21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85" w:rsidRDefault="00246A85">
      <w:pPr>
        <w:widowControl/>
        <w:wordWrap w:val="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 w:rsidR="00246A85" w:rsidRDefault="00246A85">
      <w:pPr>
        <w:widowControl/>
        <w:wordWrap w:val="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 w:rsidR="00246A85" w:rsidRDefault="00246A85">
      <w:pPr>
        <w:widowControl/>
        <w:wordWrap w:val="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 w:rsidR="00246A85" w:rsidRDefault="004A4489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由于技术不断进步，本公司保留设计更改之权利，更改恕不通知敬请谅解。</w:t>
      </w:r>
    </w:p>
    <w:bookmarkEnd w:id="0"/>
    <w:p w:rsidR="00246A85" w:rsidRDefault="00246A85">
      <w:pPr>
        <w:rPr>
          <w:rFonts w:ascii="Times New Roman" w:hAnsi="Times New Roman" w:cs="Times New Roman"/>
          <w:szCs w:val="21"/>
        </w:rPr>
      </w:pPr>
    </w:p>
    <w:sectPr w:rsidR="00246A85" w:rsidSect="0024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13" w:rsidRDefault="00653A13" w:rsidP="00A3057A">
      <w:r>
        <w:separator/>
      </w:r>
    </w:p>
  </w:endnote>
  <w:endnote w:type="continuationSeparator" w:id="1">
    <w:p w:rsidR="00653A13" w:rsidRDefault="00653A13" w:rsidP="00A3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13" w:rsidRDefault="00653A13" w:rsidP="00A3057A">
      <w:r>
        <w:separator/>
      </w:r>
    </w:p>
  </w:footnote>
  <w:footnote w:type="continuationSeparator" w:id="1">
    <w:p w:rsidR="00653A13" w:rsidRDefault="00653A13" w:rsidP="00A3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6A3B"/>
    <w:multiLevelType w:val="multilevel"/>
    <w:tmpl w:val="56AC6A3B"/>
    <w:lvl w:ilvl="0">
      <w:start w:val="20"/>
      <w:numFmt w:val="decimal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56AC6A46"/>
    <w:multiLevelType w:val="multilevel"/>
    <w:tmpl w:val="56AC6A46"/>
    <w:lvl w:ilvl="0">
      <w:start w:val="25"/>
      <w:numFmt w:val="decimal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0"/>
    </w:lvlOverride>
  </w:num>
  <w:num w:numId="2">
    <w:abstractNumId w:val="1"/>
    <w:lvlOverride w:ilvl="0">
      <w:startOverride w:val="2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1B"/>
    <w:rsid w:val="00025CF5"/>
    <w:rsid w:val="000B135D"/>
    <w:rsid w:val="000D62E0"/>
    <w:rsid w:val="00246A85"/>
    <w:rsid w:val="004A4489"/>
    <w:rsid w:val="00653A13"/>
    <w:rsid w:val="00683D84"/>
    <w:rsid w:val="00787E48"/>
    <w:rsid w:val="008B087A"/>
    <w:rsid w:val="00A3057A"/>
    <w:rsid w:val="00B016FE"/>
    <w:rsid w:val="00B6266A"/>
    <w:rsid w:val="00B629AB"/>
    <w:rsid w:val="00CD0340"/>
    <w:rsid w:val="00EC3DAC"/>
    <w:rsid w:val="00F2711B"/>
    <w:rsid w:val="00F64866"/>
    <w:rsid w:val="00F8743A"/>
    <w:rsid w:val="1B53706F"/>
    <w:rsid w:val="646C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6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46A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6A85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46A85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A305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5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FA0B9-9EB8-4CE3-94AB-030C107B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pf</cp:lastModifiedBy>
  <cp:revision>11</cp:revision>
  <dcterms:created xsi:type="dcterms:W3CDTF">2016-01-21T07:39:00Z</dcterms:created>
  <dcterms:modified xsi:type="dcterms:W3CDTF">2016-02-23T06:29:00Z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