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84"/>
        <w:gridCol w:w="3685"/>
      </w:tblGrid>
      <w:tr w:rsidR="00A0457A" w:rsidRPr="00A6380F" w:rsidTr="00445AF7">
        <w:trPr>
          <w:cantSplit/>
        </w:trPr>
        <w:tc>
          <w:tcPr>
            <w:tcW w:w="9781" w:type="dxa"/>
            <w:gridSpan w:val="3"/>
          </w:tcPr>
          <w:p w:rsidR="00A0457A" w:rsidRPr="00A6380F" w:rsidRDefault="00A6380F" w:rsidP="00A0457A">
            <w:pPr>
              <w:jc w:val="center"/>
              <w:rPr>
                <w:rFonts w:ascii="华文行楷" w:eastAsia="华文行楷"/>
                <w:sz w:val="52"/>
                <w:szCs w:val="52"/>
                <w:u w:val="double"/>
              </w:rPr>
            </w:pPr>
            <w:r>
              <w:rPr>
                <w:rFonts w:ascii="华文行楷" w:eastAsia="华文行楷" w:hAnsi="Helvetica" w:cs="Helvetica" w:hint="eastAsia"/>
                <w:b/>
                <w:color w:val="606060"/>
                <w:kern w:val="0"/>
                <w:sz w:val="52"/>
                <w:szCs w:val="52"/>
                <w:u w:val="double"/>
              </w:rPr>
              <w:t xml:space="preserve">  实</w:t>
            </w:r>
            <w:r w:rsidR="00A0457A" w:rsidRPr="00A6380F">
              <w:rPr>
                <w:rFonts w:ascii="华文行楷" w:eastAsia="华文行楷" w:hAnsi="Helvetica" w:cs="Helvetica" w:hint="eastAsia"/>
                <w:b/>
                <w:color w:val="606060"/>
                <w:kern w:val="0"/>
                <w:sz w:val="52"/>
                <w:szCs w:val="52"/>
                <w:u w:val="double"/>
              </w:rPr>
              <w:t>验室纯净水供应设备</w:t>
            </w:r>
            <w:r>
              <w:rPr>
                <w:rFonts w:ascii="华文行楷" w:eastAsia="华文行楷" w:hAnsi="Helvetica" w:cs="Helvetica" w:hint="eastAsia"/>
                <w:b/>
                <w:color w:val="606060"/>
                <w:kern w:val="0"/>
                <w:sz w:val="52"/>
                <w:szCs w:val="52"/>
                <w:u w:val="double"/>
              </w:rPr>
              <w:t xml:space="preserve">  </w:t>
            </w:r>
          </w:p>
        </w:tc>
      </w:tr>
      <w:tr w:rsidR="00A0457A" w:rsidRPr="00A6380F" w:rsidTr="00445AF7">
        <w:trPr>
          <w:cantSplit/>
        </w:trPr>
        <w:tc>
          <w:tcPr>
            <w:tcW w:w="9781" w:type="dxa"/>
            <w:gridSpan w:val="3"/>
          </w:tcPr>
          <w:p w:rsidR="00A0457A" w:rsidRPr="00A0457A" w:rsidRDefault="00A0457A" w:rsidP="00A0457A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0457A" w:rsidRPr="00F276FE" w:rsidTr="00445AF7">
        <w:trPr>
          <w:trHeight w:val="3350"/>
        </w:trPr>
        <w:tc>
          <w:tcPr>
            <w:tcW w:w="5812" w:type="dxa"/>
          </w:tcPr>
          <w:p w:rsidR="00A0457A" w:rsidRPr="00D855C8" w:rsidRDefault="00415CDC" w:rsidP="00415CDC">
            <w:pPr>
              <w:spacing w:before="120"/>
              <w:rPr>
                <w:rFonts w:ascii="Arial" w:hAnsi="Arial" w:cs="Arial"/>
                <w:b/>
                <w:szCs w:val="21"/>
                <w:u w:val="thick"/>
              </w:rPr>
            </w:pP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>应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 xml:space="preserve"> 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>用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 xml:space="preserve"> </w:t>
            </w:r>
            <w:proofErr w:type="gramStart"/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>范</w:t>
            </w:r>
            <w:proofErr w:type="gramEnd"/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 xml:space="preserve"> 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>围</w:t>
            </w:r>
            <w:r w:rsidR="00A0457A" w:rsidRPr="00D855C8">
              <w:rPr>
                <w:rFonts w:ascii="Arial" w:hAnsi="Arial" w:cs="Arial"/>
                <w:b/>
                <w:szCs w:val="21"/>
                <w:u w:val="thick"/>
              </w:rPr>
              <w:t>:</w:t>
            </w:r>
          </w:p>
          <w:p w:rsidR="00A0457A" w:rsidRPr="00F03F43" w:rsidRDefault="00A0457A" w:rsidP="00A0457A">
            <w:pPr>
              <w:widowControl/>
              <w:spacing w:line="256" w:lineRule="atLeast"/>
              <w:jc w:val="left"/>
              <w:rPr>
                <w:rFonts w:ascii="Calibri" w:eastAsia="宋体" w:hAnsi="Calibri" w:cs="Helvetica"/>
                <w:color w:val="444444"/>
                <w:kern w:val="0"/>
                <w:szCs w:val="21"/>
              </w:rPr>
            </w:pPr>
            <w:r w:rsidRPr="00F03F43">
              <w:rPr>
                <w:rFonts w:ascii="Calibri" w:eastAsia="宋体" w:hAnsi="Calibri" w:cs="Helvetica"/>
                <w:b/>
                <w:bCs/>
                <w:color w:val="444444"/>
                <w:kern w:val="0"/>
                <w:szCs w:val="21"/>
                <w:u w:val="single"/>
              </w:rPr>
              <w:t>EMFUTUR Water Lab 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t>- Ultra high purity water machine.</w:t>
            </w:r>
            <w:r w:rsidR="00D7605B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超纯度净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水机</w:t>
            </w:r>
          </w:p>
          <w:p w:rsidR="00A0457A" w:rsidRPr="00A0457A" w:rsidRDefault="00A0457A" w:rsidP="000912DC">
            <w:pPr>
              <w:rPr>
                <w:szCs w:val="21"/>
              </w:rPr>
            </w:pPr>
            <w:r w:rsidRPr="00F03F43">
              <w:rPr>
                <w:rFonts w:ascii="Calibri" w:eastAsia="宋体" w:hAnsi="Calibri" w:cs="Helvetica"/>
                <w:b/>
                <w:bCs/>
                <w:color w:val="444444"/>
                <w:kern w:val="0"/>
                <w:szCs w:val="21"/>
              </w:rPr>
              <w:t>Applications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t> 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应用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br/>
              <w:t>HPLC, ICP-MS analysis 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高效液相色谱法，电感耦合等离子体质谱分析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br/>
              <w:t>TOC analysis 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有机碳分析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br/>
              <w:t>Organic analysis 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有机物的分析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br/>
            </w:r>
            <w:bookmarkStart w:id="0" w:name="OLE_LINK1"/>
            <w:bookmarkStart w:id="1" w:name="OLE_LINK2"/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t>CF-AAS </w:t>
            </w:r>
            <w:bookmarkEnd w:id="0"/>
            <w:bookmarkEnd w:id="1"/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原子吸收分光光度法分析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br/>
              <w:t>Toxicology research 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毒性物质的研究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br/>
              <w:t>Capillary electrophoresis 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毛细管电泳法</w:t>
            </w:r>
            <w:r w:rsidRPr="00F03F43">
              <w:rPr>
                <w:rFonts w:ascii="Calibri" w:eastAsia="宋体" w:hAnsi="Calibri" w:cs="Helvetica"/>
                <w:color w:val="444444"/>
                <w:kern w:val="0"/>
                <w:szCs w:val="21"/>
              </w:rPr>
              <w:br/>
              <w:t>Environmental analysis, etc.</w:t>
            </w:r>
            <w:r w:rsidRPr="00F03F43">
              <w:rPr>
                <w:rFonts w:ascii="Calibri" w:eastAsia="宋体" w:hAnsi="Calibri" w:cs="Helvetica" w:hint="eastAsia"/>
                <w:color w:val="444444"/>
                <w:kern w:val="0"/>
                <w:szCs w:val="21"/>
              </w:rPr>
              <w:t>环境分析等等</w:t>
            </w:r>
          </w:p>
        </w:tc>
        <w:tc>
          <w:tcPr>
            <w:tcW w:w="3969" w:type="dxa"/>
            <w:gridSpan w:val="2"/>
          </w:tcPr>
          <w:p w:rsidR="00A0457A" w:rsidRPr="00F276FE" w:rsidRDefault="00A0457A" w:rsidP="000912DC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A0457A">
              <w:rPr>
                <w:rFonts w:ascii="Arial" w:hAnsi="Arial" w:cs="Arial"/>
                <w:noProof/>
                <w:szCs w:val="21"/>
              </w:rPr>
              <w:drawing>
                <wp:inline distT="0" distB="0" distL="0" distR="0">
                  <wp:extent cx="2366993" cy="2428875"/>
                  <wp:effectExtent l="19050" t="0" r="0" b="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20" cy="2435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57A" w:rsidRPr="00EC6FEE" w:rsidTr="00445AF7">
        <w:trPr>
          <w:cantSplit/>
          <w:trHeight w:val="1211"/>
        </w:trPr>
        <w:tc>
          <w:tcPr>
            <w:tcW w:w="9781" w:type="dxa"/>
            <w:gridSpan w:val="3"/>
          </w:tcPr>
          <w:p w:rsidR="00A0457A" w:rsidRPr="00EC6FEE" w:rsidRDefault="00A0457A" w:rsidP="000912DC">
            <w:pPr>
              <w:tabs>
                <w:tab w:val="center" w:pos="4681"/>
              </w:tabs>
              <w:spacing w:before="120" w:after="120"/>
              <w:jc w:val="left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9C19ED">
              <w:rPr>
                <w:rFonts w:hint="eastAsia"/>
                <w:b/>
                <w:sz w:val="44"/>
                <w:szCs w:val="44"/>
              </w:rPr>
              <w:t xml:space="preserve">   </w:t>
            </w:r>
            <w:r w:rsidRPr="00F03F43">
              <w:rPr>
                <w:rFonts w:ascii="华文行楷" w:eastAsia="华文行楷" w:hint="eastAsia"/>
                <w:sz w:val="52"/>
                <w:szCs w:val="52"/>
              </w:rPr>
              <w:t>EMFUTUR Water Lab Equipment Offer</w:t>
            </w:r>
          </w:p>
        </w:tc>
      </w:tr>
      <w:tr w:rsidR="00A0457A" w:rsidRPr="00F276FE" w:rsidTr="00445AF7">
        <w:trPr>
          <w:trHeight w:val="3639"/>
        </w:trPr>
        <w:tc>
          <w:tcPr>
            <w:tcW w:w="6096" w:type="dxa"/>
            <w:gridSpan w:val="2"/>
          </w:tcPr>
          <w:p w:rsidR="00A0457A" w:rsidRDefault="00A0457A" w:rsidP="000912DC">
            <w:pPr>
              <w:rPr>
                <w:rFonts w:ascii="Arial" w:hAnsi="Arial" w:cs="Arial"/>
                <w:szCs w:val="21"/>
              </w:rPr>
            </w:pPr>
          </w:p>
          <w:p w:rsidR="00A0457A" w:rsidRDefault="00A0457A" w:rsidP="000912DC">
            <w:pPr>
              <w:rPr>
                <w:rFonts w:ascii="Arial" w:hAnsi="Arial" w:cs="Arial"/>
                <w:szCs w:val="21"/>
              </w:rPr>
            </w:pPr>
            <w:r w:rsidRPr="00A0457A">
              <w:rPr>
                <w:rFonts w:ascii="Arial" w:hAnsi="Arial" w:cs="Arial"/>
                <w:noProof/>
                <w:szCs w:val="21"/>
              </w:rPr>
              <w:drawing>
                <wp:inline distT="0" distB="0" distL="0" distR="0">
                  <wp:extent cx="3533775" cy="2360612"/>
                  <wp:effectExtent l="19050" t="0" r="9525" b="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77" cy="236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57A" w:rsidRDefault="00A0457A" w:rsidP="000912DC">
            <w:pPr>
              <w:rPr>
                <w:rFonts w:ascii="Arial" w:hAnsi="Arial" w:cs="Arial"/>
                <w:szCs w:val="21"/>
              </w:rPr>
            </w:pPr>
          </w:p>
          <w:p w:rsidR="00A0457A" w:rsidRPr="00F276FE" w:rsidRDefault="00A0457A" w:rsidP="000912DC">
            <w:pPr>
              <w:rPr>
                <w:rFonts w:ascii="Arial" w:hAnsi="Arial" w:cs="Arial"/>
                <w:szCs w:val="21"/>
              </w:rPr>
            </w:pPr>
            <w:r w:rsidRPr="00A0457A">
              <w:rPr>
                <w:rFonts w:ascii="Arial" w:hAnsi="Arial" w:cs="Arial"/>
                <w:noProof/>
                <w:szCs w:val="21"/>
              </w:rPr>
              <w:drawing>
                <wp:inline distT="0" distB="0" distL="0" distR="0">
                  <wp:extent cx="3619499" cy="1276350"/>
                  <wp:effectExtent l="19050" t="0" r="1" b="0"/>
                  <wp:docPr id="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540" cy="127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0457A" w:rsidRPr="00D855C8" w:rsidRDefault="00415CDC" w:rsidP="00415CDC">
            <w:pPr>
              <w:spacing w:before="120"/>
              <w:rPr>
                <w:rFonts w:ascii="Arial" w:hAnsi="Arial" w:cs="Arial"/>
                <w:b/>
                <w:szCs w:val="21"/>
                <w:u w:val="thick"/>
              </w:rPr>
            </w:pP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>性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 xml:space="preserve"> 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>能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 xml:space="preserve"> </w:t>
            </w:r>
            <w:r w:rsidR="00A0457A" w:rsidRPr="00D855C8">
              <w:rPr>
                <w:rFonts w:ascii="Arial" w:hAnsi="Arial" w:cs="Arial" w:hint="eastAsia"/>
                <w:b/>
                <w:szCs w:val="21"/>
                <w:u w:val="thick"/>
              </w:rPr>
              <w:t>指</w:t>
            </w:r>
            <w:r w:rsidRPr="00D855C8">
              <w:rPr>
                <w:rFonts w:ascii="Arial" w:hAnsi="Arial" w:cs="Arial" w:hint="eastAsia"/>
                <w:b/>
                <w:szCs w:val="21"/>
                <w:u w:val="thick"/>
              </w:rPr>
              <w:t xml:space="preserve"> </w:t>
            </w:r>
            <w:r w:rsidR="00A0457A" w:rsidRPr="00D855C8">
              <w:rPr>
                <w:rFonts w:ascii="Arial" w:hAnsi="Arial" w:cs="Arial" w:hint="eastAsia"/>
                <w:b/>
                <w:szCs w:val="21"/>
                <w:u w:val="thick"/>
              </w:rPr>
              <w:t>标</w:t>
            </w:r>
            <w:r w:rsidR="00A0457A" w:rsidRPr="00D855C8">
              <w:rPr>
                <w:rFonts w:ascii="Arial" w:hAnsi="Arial" w:cs="Arial"/>
                <w:b/>
                <w:szCs w:val="21"/>
                <w:u w:val="thick"/>
              </w:rPr>
              <w:t>:</w:t>
            </w:r>
          </w:p>
          <w:p w:rsidR="00415CDC" w:rsidRDefault="00A0457A" w:rsidP="00415CDC">
            <w:pPr>
              <w:spacing w:before="120"/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产出</w:t>
            </w:r>
            <w:r w:rsidRPr="006D6DDC">
              <w:rPr>
                <w:rFonts w:ascii="Arial" w:eastAsia="宋体" w:hAnsi="Arial" w:cs="Arial"/>
                <w:b/>
                <w:bCs/>
                <w:color w:val="7F7F7F"/>
                <w:kern w:val="0"/>
                <w:sz w:val="18"/>
              </w:rPr>
              <w:t>Output(25°C)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/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24 Liters/hour,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</w:t>
            </w:r>
          </w:p>
          <w:p w:rsidR="00A0457A" w:rsidRPr="00A0457A" w:rsidRDefault="00A0457A" w:rsidP="00415CDC">
            <w:pPr>
              <w:spacing w:before="1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功率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/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240 W</w:t>
            </w:r>
          </w:p>
          <w:p w:rsidR="00A0457A" w:rsidRDefault="00A0457A" w:rsidP="00415CDC">
            <w:pPr>
              <w:widowControl/>
              <w:spacing w:before="100" w:beforeAutospacing="1" w:after="240"/>
              <w:jc w:val="left"/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流量</w:t>
            </w:r>
            <w:r>
              <w:rPr>
                <w:rFonts w:ascii="Arial" w:eastAsia="宋体" w:hAnsi="Arial" w:cs="Arial"/>
                <w:b/>
                <w:bCs/>
                <w:color w:val="7F7F7F"/>
                <w:kern w:val="0"/>
                <w:sz w:val="18"/>
              </w:rPr>
              <w:t xml:space="preserve">(with pressure 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压力槽</w:t>
            </w:r>
            <w:r w:rsidRPr="006D6DDC">
              <w:rPr>
                <w:rFonts w:ascii="Arial" w:eastAsia="宋体" w:hAnsi="Arial" w:cs="Arial"/>
                <w:b/>
                <w:bCs/>
                <w:color w:val="7F7F7F"/>
                <w:kern w:val="0"/>
                <w:sz w:val="18"/>
              </w:rPr>
              <w:t>)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 /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&gt;1.5Liters/minute</w:t>
            </w:r>
          </w:p>
          <w:p w:rsidR="00A0457A" w:rsidRDefault="00A0457A" w:rsidP="00415CDC">
            <w:pPr>
              <w:pStyle w:val="2"/>
              <w:rPr>
                <w:rFonts w:ascii="Arial" w:hAnsi="Arial" w:cs="Arial"/>
                <w:color w:val="7F7F7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7F7F7F"/>
                <w:sz w:val="18"/>
              </w:rPr>
              <w:t>纯净水的电阻率</w:t>
            </w:r>
            <w:r w:rsidRPr="006D6DDC">
              <w:rPr>
                <w:rFonts w:ascii="Arial" w:hAnsi="Arial" w:cs="Arial"/>
                <w:b/>
                <w:bCs/>
                <w:color w:val="7F7F7F"/>
                <w:sz w:val="18"/>
              </w:rPr>
              <w:t>(25°C)</w:t>
            </w:r>
            <w:r>
              <w:rPr>
                <w:rFonts w:ascii="Arial" w:hAnsi="Arial" w:cs="Arial" w:hint="eastAsia"/>
                <w:b/>
                <w:bCs/>
                <w:color w:val="7F7F7F"/>
                <w:sz w:val="18"/>
              </w:rPr>
              <w:t xml:space="preserve"> / </w:t>
            </w:r>
            <w:r w:rsidRPr="006D6DDC">
              <w:rPr>
                <w:rFonts w:ascii="Arial" w:hAnsi="Arial" w:cs="Arial"/>
                <w:color w:val="7F7F7F"/>
                <w:sz w:val="18"/>
                <w:szCs w:val="18"/>
              </w:rPr>
              <w:t>18.2MΩ</w:t>
            </w:r>
            <w:r>
              <w:rPr>
                <w:rFonts w:ascii="Arial" w:hAnsi="Arial" w:cs="Arial" w:hint="eastAsia"/>
                <w:b/>
                <w:bCs/>
                <w:color w:val="7F7F7F"/>
                <w:sz w:val="18"/>
              </w:rPr>
              <w:t>有机碳</w:t>
            </w:r>
            <w:r w:rsidRPr="006D6DDC">
              <w:rPr>
                <w:rFonts w:ascii="Arial" w:hAnsi="Arial" w:cs="Arial"/>
                <w:b/>
                <w:bCs/>
                <w:color w:val="7F7F7F"/>
                <w:sz w:val="18"/>
              </w:rPr>
              <w:t>*</w:t>
            </w:r>
            <w:r>
              <w:rPr>
                <w:rFonts w:ascii="Arial" w:hAnsi="Arial" w:cs="Arial" w:hint="eastAsia"/>
                <w:b/>
                <w:bCs/>
                <w:color w:val="7F7F7F"/>
                <w:sz w:val="18"/>
              </w:rPr>
              <w:t xml:space="preserve">/  </w:t>
            </w:r>
            <w:r w:rsidRPr="006D6DDC">
              <w:rPr>
                <w:rFonts w:ascii="Arial" w:hAnsi="Arial" w:cs="Arial"/>
                <w:color w:val="7F7F7F"/>
                <w:sz w:val="18"/>
                <w:szCs w:val="18"/>
              </w:rPr>
              <w:t>3ppb</w:t>
            </w:r>
          </w:p>
          <w:p w:rsidR="00415CDC" w:rsidRDefault="00A0457A" w:rsidP="000912DC">
            <w:pPr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</w:pPr>
            <w:r w:rsidRPr="00415CDC">
              <w:rPr>
                <w:rFonts w:ascii="Arial" w:eastAsia="宋体" w:hAnsi="Arial" w:cs="Arial" w:hint="eastAsia"/>
                <w:b/>
                <w:bCs/>
                <w:kern w:val="0"/>
                <w:sz w:val="18"/>
              </w:rPr>
              <w:t>内毒素</w:t>
            </w:r>
            <w:r w:rsidRPr="00415CDC">
              <w:rPr>
                <w:rFonts w:ascii="Arial" w:eastAsia="宋体" w:hAnsi="Arial" w:cs="Arial" w:hint="eastAsia"/>
                <w:b/>
                <w:bCs/>
                <w:kern w:val="0"/>
                <w:sz w:val="18"/>
              </w:rPr>
              <w:t xml:space="preserve"> /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&lt;0.001EU/ml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 </w:t>
            </w:r>
            <w:r w:rsidR="00415CDC"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</w:t>
            </w:r>
          </w:p>
          <w:p w:rsidR="00A0457A" w:rsidRDefault="00A0457A" w:rsidP="000912DC">
            <w:pPr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细菌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/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&lt;1CFU/ml</w:t>
            </w:r>
          </w:p>
          <w:p w:rsidR="00415CDC" w:rsidRDefault="00A0457A" w:rsidP="000912DC">
            <w:pPr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颗粒</w:t>
            </w:r>
            <w:r w:rsidRPr="006D6DDC">
              <w:rPr>
                <w:rFonts w:ascii="Arial" w:eastAsia="宋体" w:hAnsi="Arial" w:cs="Arial"/>
                <w:b/>
                <w:bCs/>
                <w:color w:val="7F7F7F"/>
                <w:kern w:val="0"/>
                <w:sz w:val="18"/>
              </w:rPr>
              <w:t>(&gt;0.1µm)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/ 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&lt;1/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I </w:t>
            </w:r>
            <w:r w:rsidR="00415CDC"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</w:t>
            </w:r>
          </w:p>
          <w:p w:rsidR="00415CDC" w:rsidRDefault="00A0457A" w:rsidP="000912DC">
            <w:pPr>
              <w:rPr>
                <w:rFonts w:ascii="Arial" w:hAnsi="Arial" w:cs="Arial"/>
                <w:szCs w:val="21"/>
                <w:lang w:val="en-GB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重金属离子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/ 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&lt;0.1ppb</w:t>
            </w:r>
            <w:r w:rsidRPr="00F276FE">
              <w:rPr>
                <w:rFonts w:ascii="Arial" w:hAnsi="Arial" w:cs="Arial"/>
                <w:szCs w:val="21"/>
                <w:lang w:val="en-GB"/>
              </w:rPr>
              <w:t xml:space="preserve">   </w:t>
            </w:r>
          </w:p>
          <w:p w:rsidR="00415CDC" w:rsidRDefault="00A0457A" w:rsidP="000912DC">
            <w:pPr>
              <w:rPr>
                <w:rFonts w:ascii="Arial" w:eastAsia="宋体" w:hAnsi="Arial" w:cs="Arial"/>
                <w:b/>
                <w:bCs/>
                <w:color w:val="7F7F7F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2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阶段的反渗透水的导电</w:t>
            </w:r>
            <w:r w:rsidR="00415CDC"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 </w:t>
            </w:r>
          </w:p>
          <w:p w:rsidR="00415CDC" w:rsidRDefault="00415CDC" w:rsidP="000912DC">
            <w:pPr>
              <w:spacing w:line="360" w:lineRule="auto"/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给水要求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/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5-45°C,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pressure:1.0-4.0Kgf/cm2</w:t>
            </w:r>
          </w:p>
          <w:p w:rsidR="00A0457A" w:rsidRPr="00415CDC" w:rsidRDefault="00415CDC" w:rsidP="000912DC">
            <w:pPr>
              <w:spacing w:line="360" w:lineRule="auto"/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尺寸和重量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 / </w:t>
            </w:r>
            <w:proofErr w:type="spellStart"/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Length×Width</w:t>
            </w:r>
            <w:proofErr w:type="spellEnd"/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×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Height:</w:t>
            </w:r>
            <w:r>
              <w:rPr>
                <w:rFonts w:ascii="Arial" w:eastAsia="宋体" w:hAnsi="Arial" w:cs="Arial" w:hint="eastAsia"/>
                <w:color w:val="7F7F7F"/>
                <w:kern w:val="0"/>
                <w:sz w:val="18"/>
                <w:szCs w:val="18"/>
              </w:rPr>
              <w:t xml:space="preserve">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545×470×610mm / Weight: about 20Kg</w:t>
            </w:r>
          </w:p>
          <w:p w:rsidR="00A0457A" w:rsidRPr="00F276FE" w:rsidRDefault="00415CDC" w:rsidP="00415CDC">
            <w:pPr>
              <w:spacing w:line="360" w:lineRule="auto"/>
              <w:ind w:left="181" w:hangingChars="100" w:hanging="181"/>
              <w:rPr>
                <w:rFonts w:ascii="Arial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>电压</w:t>
            </w:r>
            <w:r>
              <w:rPr>
                <w:rFonts w:ascii="Arial" w:eastAsia="宋体" w:hAnsi="Arial" w:cs="Arial" w:hint="eastAsia"/>
                <w:b/>
                <w:bCs/>
                <w:color w:val="7F7F7F"/>
                <w:kern w:val="0"/>
                <w:sz w:val="18"/>
              </w:rPr>
              <w:t xml:space="preserve"> / </w:t>
            </w:r>
            <w:r w:rsidRPr="006D6DDC">
              <w:rPr>
                <w:rFonts w:ascii="Arial" w:eastAsia="宋体" w:hAnsi="Arial" w:cs="Arial"/>
                <w:color w:val="7F7F7F"/>
                <w:kern w:val="0"/>
                <w:sz w:val="18"/>
                <w:szCs w:val="18"/>
              </w:rPr>
              <w:t>AC110-220V,50/60Hz</w:t>
            </w:r>
          </w:p>
        </w:tc>
      </w:tr>
    </w:tbl>
    <w:p w:rsidR="007C54BA" w:rsidRPr="00A0457A" w:rsidRDefault="007C54BA" w:rsidP="00415CDC">
      <w:pPr>
        <w:tabs>
          <w:tab w:val="left" w:pos="6480"/>
        </w:tabs>
      </w:pPr>
    </w:p>
    <w:sectPr w:rsidR="007C54BA" w:rsidRPr="00A0457A" w:rsidSect="007C54B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29" w:rsidRDefault="00B80C29" w:rsidP="00B80C29">
      <w:r>
        <w:separator/>
      </w:r>
    </w:p>
  </w:endnote>
  <w:endnote w:type="continuationSeparator" w:id="1">
    <w:p w:rsidR="00B80C29" w:rsidRDefault="00B80C29" w:rsidP="00B8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0F" w:rsidRDefault="00410B54" w:rsidP="00554CEE">
    <w:pPr>
      <w:pStyle w:val="a4"/>
      <w:jc w:val="center"/>
    </w:pPr>
    <w:r>
      <w:rPr>
        <w:rFonts w:hint="eastAsia"/>
      </w:rPr>
      <w:t>地址：北京市西城区北三环裕民中路</w:t>
    </w:r>
    <w:r>
      <w:rPr>
        <w:rFonts w:hint="eastAsia"/>
      </w:rPr>
      <w:t>6</w:t>
    </w:r>
    <w:r>
      <w:rPr>
        <w:rFonts w:hint="eastAsia"/>
      </w:rPr>
      <w:t>号</w:t>
    </w:r>
    <w:r>
      <w:rPr>
        <w:rFonts w:hint="eastAsia"/>
      </w:rPr>
      <w:t>17</w:t>
    </w:r>
    <w:r>
      <w:rPr>
        <w:rFonts w:hint="eastAsia"/>
      </w:rPr>
      <w:t>楼</w:t>
    </w:r>
    <w:r>
      <w:rPr>
        <w:rFonts w:hint="eastAsia"/>
      </w:rPr>
      <w:t>308</w:t>
    </w:r>
    <w:r>
      <w:rPr>
        <w:rFonts w:hint="eastAsia"/>
      </w:rPr>
      <w:t>室</w:t>
    </w:r>
    <w:r>
      <w:rPr>
        <w:rFonts w:hint="eastAsia"/>
      </w:rPr>
      <w:t xml:space="preserve">  100029</w:t>
    </w:r>
  </w:p>
  <w:p w:rsidR="00410B54" w:rsidRDefault="00410B54" w:rsidP="00554CEE">
    <w:pPr>
      <w:pStyle w:val="a4"/>
      <w:jc w:val="center"/>
    </w:pPr>
    <w:r>
      <w:rPr>
        <w:rFonts w:hint="eastAsia"/>
      </w:rPr>
      <w:t>电话：</w:t>
    </w:r>
    <w:r>
      <w:rPr>
        <w:rFonts w:hint="eastAsia"/>
      </w:rPr>
      <w:t xml:space="preserve">010-62020118  </w:t>
    </w:r>
    <w:r w:rsidR="00554CEE">
      <w:rPr>
        <w:rFonts w:hint="eastAsia"/>
      </w:rPr>
      <w:t xml:space="preserve">13910187061  </w:t>
    </w:r>
    <w:r>
      <w:rPr>
        <w:rFonts w:hint="eastAsia"/>
      </w:rPr>
      <w:t>传真：</w:t>
    </w:r>
    <w:r>
      <w:rPr>
        <w:rFonts w:hint="eastAsia"/>
      </w:rPr>
      <w:t>010-82994286</w:t>
    </w:r>
  </w:p>
  <w:p w:rsidR="00554CEE" w:rsidRDefault="00410B54" w:rsidP="00554CEE">
    <w:pPr>
      <w:pStyle w:val="a4"/>
      <w:jc w:val="center"/>
    </w:pPr>
    <w:r>
      <w:rPr>
        <w:rFonts w:hint="eastAsia"/>
      </w:rPr>
      <w:t>邮箱：</w:t>
    </w:r>
    <w:hyperlink r:id="rId1" w:history="1">
      <w:r w:rsidRPr="00993D4F">
        <w:rPr>
          <w:rStyle w:val="a6"/>
          <w:rFonts w:hint="eastAsia"/>
        </w:rPr>
        <w:t>geoge2003@163.com</w:t>
      </w:r>
    </w:hyperlink>
    <w:r>
      <w:rPr>
        <w:rFonts w:hint="eastAsia"/>
      </w:rPr>
      <w:t xml:space="preserve">    </w:t>
    </w:r>
    <w:hyperlink r:id="rId2" w:history="1">
      <w:r w:rsidRPr="00993D4F">
        <w:rPr>
          <w:rStyle w:val="a6"/>
          <w:rFonts w:hint="eastAsia"/>
        </w:rPr>
        <w:t>jjs_yang@163.com</w:t>
      </w:r>
    </w:hyperlink>
  </w:p>
  <w:p w:rsidR="00410B54" w:rsidRPr="00410B54" w:rsidRDefault="00410B54" w:rsidP="00554CEE">
    <w:pPr>
      <w:pStyle w:val="a4"/>
      <w:jc w:val="center"/>
    </w:pPr>
    <w:r>
      <w:rPr>
        <w:rFonts w:hint="eastAsia"/>
      </w:rPr>
      <w:t>网址</w:t>
    </w:r>
    <w:r w:rsidR="00554CEE">
      <w:rPr>
        <w:rFonts w:hint="eastAsia"/>
      </w:rPr>
      <w:t>：</w:t>
    </w:r>
    <w:hyperlink r:id="rId3" w:history="1">
      <w:r w:rsidR="00554CEE" w:rsidRPr="00993D4F">
        <w:rPr>
          <w:rStyle w:val="a6"/>
          <w:rFonts w:hint="eastAsia"/>
        </w:rPr>
        <w:t>http://jjs.instrument.com</w:t>
      </w:r>
    </w:hyperlink>
    <w:r w:rsidR="00554CEE">
      <w:rPr>
        <w:rFonts w:hint="eastAsia"/>
      </w:rPr>
      <w:t xml:space="preserve">   </w:t>
    </w:r>
    <w:hyperlink r:id="rId4" w:history="1">
      <w:r w:rsidR="00554CEE" w:rsidRPr="00993D4F">
        <w:rPr>
          <w:rStyle w:val="a6"/>
          <w:rFonts w:hint="eastAsia"/>
        </w:rPr>
        <w:t>http://shop111683852.taobao.com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29" w:rsidRDefault="00B80C29" w:rsidP="00B80C29">
      <w:r>
        <w:separator/>
      </w:r>
    </w:p>
  </w:footnote>
  <w:footnote w:type="continuationSeparator" w:id="1">
    <w:p w:rsidR="00B80C29" w:rsidRDefault="00B80C29" w:rsidP="00B8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0F" w:rsidRPr="00410B54" w:rsidRDefault="00410B54" w:rsidP="00410B54">
    <w:pPr>
      <w:pStyle w:val="a3"/>
      <w:rPr>
        <w:b/>
        <w:i/>
      </w:rPr>
    </w:pPr>
    <w:r>
      <w:rPr>
        <w:rFonts w:hint="eastAsia"/>
        <w:b/>
        <w:i/>
        <w:color w:val="FF0000"/>
        <w:sz w:val="21"/>
        <w:szCs w:val="21"/>
      </w:rPr>
      <w:t xml:space="preserve">                                                         </w:t>
    </w:r>
    <w:r w:rsidR="00A6380F" w:rsidRPr="00A6380F">
      <w:rPr>
        <w:rFonts w:hint="eastAsia"/>
        <w:b/>
        <w:i/>
        <w:color w:val="FF0000"/>
        <w:sz w:val="21"/>
        <w:szCs w:val="21"/>
      </w:rPr>
      <w:t>J</w:t>
    </w:r>
    <w:r w:rsidR="00A6380F" w:rsidRPr="00A6380F">
      <w:rPr>
        <w:rFonts w:hint="eastAsia"/>
        <w:b/>
        <w:i/>
        <w:sz w:val="21"/>
        <w:szCs w:val="21"/>
      </w:rPr>
      <w:t>J</w:t>
    </w:r>
    <w:r w:rsidR="00A6380F" w:rsidRPr="00A6380F">
      <w:rPr>
        <w:rFonts w:hint="eastAsia"/>
        <w:b/>
        <w:i/>
        <w:color w:val="0070C0"/>
        <w:sz w:val="21"/>
        <w:szCs w:val="21"/>
      </w:rPr>
      <w:t>S</w:t>
    </w:r>
    <w:r w:rsidR="00A6380F" w:rsidRPr="00A6380F">
      <w:rPr>
        <w:rFonts w:hint="eastAsia"/>
        <w:b/>
        <w:i/>
        <w:sz w:val="21"/>
        <w:szCs w:val="21"/>
      </w:rPr>
      <w:t>-</w:t>
    </w:r>
    <w:r w:rsidR="00A6380F" w:rsidRPr="00A6380F">
      <w:rPr>
        <w:rFonts w:hint="eastAsia"/>
        <w:b/>
        <w:i/>
      </w:rPr>
      <w:t>金骏</w:t>
    </w:r>
    <w:proofErr w:type="gramStart"/>
    <w:r w:rsidR="00A6380F" w:rsidRPr="00A6380F">
      <w:rPr>
        <w:rFonts w:hint="eastAsia"/>
        <w:b/>
        <w:i/>
      </w:rPr>
      <w:t>升科技</w:t>
    </w:r>
    <w:proofErr w:type="gramEnd"/>
    <w:r w:rsidR="00A6380F" w:rsidRPr="00A6380F">
      <w:rPr>
        <w:rFonts w:hint="eastAsia"/>
        <w:b/>
        <w:i/>
      </w:rPr>
      <w:t>国际有限公司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C29"/>
    <w:rsid w:val="00410B54"/>
    <w:rsid w:val="00415CDC"/>
    <w:rsid w:val="00445AF7"/>
    <w:rsid w:val="00513005"/>
    <w:rsid w:val="00554CEE"/>
    <w:rsid w:val="007C54BA"/>
    <w:rsid w:val="0099234B"/>
    <w:rsid w:val="009C19ED"/>
    <w:rsid w:val="00A0457A"/>
    <w:rsid w:val="00A6380F"/>
    <w:rsid w:val="00B80C29"/>
    <w:rsid w:val="00D7605B"/>
    <w:rsid w:val="00D8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C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0C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0C29"/>
    <w:rPr>
      <w:sz w:val="18"/>
      <w:szCs w:val="18"/>
    </w:rPr>
  </w:style>
  <w:style w:type="paragraph" w:styleId="2">
    <w:name w:val="Body Text 2"/>
    <w:basedOn w:val="a"/>
    <w:link w:val="2Char"/>
    <w:rsid w:val="00A0457A"/>
    <w:pPr>
      <w:widowControl/>
    </w:pPr>
    <w:rPr>
      <w:rFonts w:ascii="Times New Roman" w:eastAsia="宋体" w:hAnsi="Times New Roman" w:cs="Times New Roman"/>
      <w:kern w:val="0"/>
      <w:sz w:val="24"/>
      <w:szCs w:val="20"/>
      <w:u w:val="single"/>
      <w:lang w:eastAsia="fr-FR"/>
    </w:rPr>
  </w:style>
  <w:style w:type="character" w:customStyle="1" w:styleId="2Char">
    <w:name w:val="正文文本 2 Char"/>
    <w:basedOn w:val="a0"/>
    <w:link w:val="2"/>
    <w:rsid w:val="00A0457A"/>
    <w:rPr>
      <w:rFonts w:ascii="Times New Roman" w:eastAsia="宋体" w:hAnsi="Times New Roman" w:cs="Times New Roman"/>
      <w:kern w:val="0"/>
      <w:sz w:val="24"/>
      <w:szCs w:val="20"/>
      <w:u w:val="single"/>
      <w:lang w:eastAsia="fr-FR"/>
    </w:rPr>
  </w:style>
  <w:style w:type="character" w:styleId="a6">
    <w:name w:val="Hyperlink"/>
    <w:basedOn w:val="a0"/>
    <w:uiPriority w:val="99"/>
    <w:unhideWhenUsed/>
    <w:rsid w:val="00410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jjs.instrument.com" TargetMode="External"/><Relationship Id="rId2" Type="http://schemas.openxmlformats.org/officeDocument/2006/relationships/hyperlink" Target="mailto:jjs_yang@163.com" TargetMode="External"/><Relationship Id="rId1" Type="http://schemas.openxmlformats.org/officeDocument/2006/relationships/hyperlink" Target="mailto:geoge2003@163.com" TargetMode="External"/><Relationship Id="rId4" Type="http://schemas.openxmlformats.org/officeDocument/2006/relationships/hyperlink" Target="http://shop111683852.taoba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2014-08-07T02:19:00Z</dcterms:created>
  <dcterms:modified xsi:type="dcterms:W3CDTF">2014-10-01T03:32:00Z</dcterms:modified>
</cp:coreProperties>
</file>