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D0" w:rsidRPr="00D02CD0" w:rsidRDefault="00D02CD0" w:rsidP="00D02CD0">
      <w:pPr>
        <w:pStyle w:val="aa"/>
        <w:ind w:firstLineChars="0" w:firstLine="0"/>
        <w:rPr>
          <w:rFonts w:ascii="黑体" w:eastAsia="黑体" w:hAnsi="黑体"/>
          <w:sz w:val="32"/>
          <w:szCs w:val="32"/>
        </w:rPr>
      </w:pPr>
      <w:r w:rsidRPr="00D02CD0">
        <w:rPr>
          <w:rFonts w:ascii="黑体" w:eastAsia="黑体" w:hAnsi="黑体" w:hint="eastAsia"/>
          <w:sz w:val="32"/>
          <w:szCs w:val="32"/>
        </w:rPr>
        <w:t>附件4</w:t>
      </w:r>
    </w:p>
    <w:p w:rsidR="00D02CD0" w:rsidRPr="000345FC" w:rsidRDefault="00D02CD0" w:rsidP="000345FC">
      <w:pPr>
        <w:pStyle w:val="aa"/>
        <w:spacing w:line="64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345FC">
        <w:rPr>
          <w:rFonts w:ascii="Times New Roman" w:eastAsia="方正小标宋简体" w:hAnsi="Times New Roman" w:cs="Times New Roman"/>
          <w:sz w:val="44"/>
          <w:szCs w:val="44"/>
        </w:rPr>
        <w:t>食品中亚硝酸盐的快速检测</w:t>
      </w:r>
    </w:p>
    <w:p w:rsidR="00D02CD0" w:rsidRDefault="00D02CD0" w:rsidP="000345FC">
      <w:pPr>
        <w:pStyle w:val="aa"/>
        <w:spacing w:line="64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345FC">
        <w:rPr>
          <w:rFonts w:ascii="Times New Roman" w:eastAsia="方正小标宋简体" w:hAnsi="Times New Roman" w:cs="Times New Roman"/>
          <w:sz w:val="44"/>
          <w:szCs w:val="44"/>
        </w:rPr>
        <w:t>盐酸</w:t>
      </w:r>
      <w:proofErr w:type="gramStart"/>
      <w:r w:rsidRPr="000345FC">
        <w:rPr>
          <w:rFonts w:ascii="Times New Roman" w:eastAsia="方正小标宋简体" w:hAnsi="Times New Roman" w:cs="Times New Roman"/>
          <w:sz w:val="44"/>
          <w:szCs w:val="44"/>
        </w:rPr>
        <w:t>萘</w:t>
      </w:r>
      <w:proofErr w:type="gramEnd"/>
      <w:r w:rsidRPr="000345FC">
        <w:rPr>
          <w:rFonts w:ascii="Times New Roman" w:eastAsia="方正小标宋简体" w:hAnsi="Times New Roman" w:cs="Times New Roman"/>
          <w:sz w:val="44"/>
          <w:szCs w:val="44"/>
        </w:rPr>
        <w:t>乙二胺法（</w:t>
      </w:r>
      <w:r w:rsidRPr="000345FC">
        <w:rPr>
          <w:rFonts w:ascii="Times New Roman" w:eastAsia="方正小标宋简体" w:hAnsi="Times New Roman" w:cs="Times New Roman"/>
          <w:sz w:val="44"/>
          <w:szCs w:val="44"/>
        </w:rPr>
        <w:t>KJ201704</w:t>
      </w:r>
      <w:r w:rsidRPr="000345FC"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0345FC" w:rsidRPr="000345FC" w:rsidRDefault="000345FC" w:rsidP="000345FC">
      <w:pPr>
        <w:pStyle w:val="aa"/>
        <w:spacing w:line="24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范围</w:t>
      </w:r>
    </w:p>
    <w:p w:rsidR="003F76A6" w:rsidRPr="002B6163" w:rsidRDefault="003063FE" w:rsidP="0077000E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方正小标宋简体" w:eastAsia="方正小标宋简体"/>
          <w:kern w:val="0"/>
          <w:sz w:val="44"/>
          <w:szCs w:val="44"/>
        </w:rPr>
      </w:pPr>
      <w:r>
        <w:rPr>
          <w:kern w:val="0"/>
          <w:szCs w:val="20"/>
        </w:rPr>
        <w:t>本方法规定了食品中亚硝酸盐的快速检测方法。</w:t>
      </w:r>
    </w:p>
    <w:p w:rsidR="003F76A6" w:rsidRDefault="003063FE" w:rsidP="0077000E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本方法适用于肉及肉制品</w:t>
      </w:r>
      <w:r>
        <w:rPr>
          <w:rFonts w:hint="eastAsia"/>
          <w:kern w:val="0"/>
          <w:szCs w:val="20"/>
        </w:rPr>
        <w:t>（餐饮食品）</w:t>
      </w:r>
      <w:r>
        <w:rPr>
          <w:kern w:val="0"/>
          <w:szCs w:val="20"/>
        </w:rPr>
        <w:t>中亚硝酸盐的快速测定。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原理</w:t>
      </w:r>
    </w:p>
    <w:p w:rsidR="00743D16" w:rsidRPr="00743D16" w:rsidRDefault="00743D16" w:rsidP="0077000E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 w:rsidRPr="00743D16">
        <w:rPr>
          <w:kern w:val="0"/>
          <w:szCs w:val="20"/>
        </w:rPr>
        <w:t>样品中的</w:t>
      </w:r>
      <w:proofErr w:type="gramStart"/>
      <w:r w:rsidRPr="00743D16">
        <w:rPr>
          <w:kern w:val="0"/>
          <w:szCs w:val="20"/>
        </w:rPr>
        <w:t>亚硝酸盐经提取</w:t>
      </w:r>
      <w:proofErr w:type="gramEnd"/>
      <w:r w:rsidRPr="00743D16">
        <w:rPr>
          <w:kern w:val="0"/>
          <w:szCs w:val="20"/>
        </w:rPr>
        <w:t>后，在弱酸性条件下与对氨基苯磺酸重氮化后，再与盐酸</w:t>
      </w:r>
      <w:proofErr w:type="gramStart"/>
      <w:r w:rsidRPr="00743D16">
        <w:rPr>
          <w:kern w:val="0"/>
          <w:szCs w:val="20"/>
        </w:rPr>
        <w:t>萘</w:t>
      </w:r>
      <w:proofErr w:type="gramEnd"/>
      <w:r w:rsidRPr="00743D16">
        <w:rPr>
          <w:kern w:val="0"/>
          <w:szCs w:val="20"/>
        </w:rPr>
        <w:t>乙二</w:t>
      </w:r>
      <w:proofErr w:type="gramStart"/>
      <w:r w:rsidRPr="00743D16">
        <w:rPr>
          <w:kern w:val="0"/>
          <w:szCs w:val="20"/>
        </w:rPr>
        <w:t>胺反应</w:t>
      </w:r>
      <w:proofErr w:type="gramEnd"/>
      <w:r w:rsidRPr="00743D16">
        <w:rPr>
          <w:kern w:val="0"/>
          <w:szCs w:val="20"/>
        </w:rPr>
        <w:t>生成紫红色偶氮化合物，其颜色的深浅在一定范围内与亚硝酸盐含量成正相关，通过色阶卡进行目视比色，对样品中亚硝酸</w:t>
      </w:r>
      <w:proofErr w:type="gramStart"/>
      <w:r w:rsidRPr="00743D16">
        <w:rPr>
          <w:kern w:val="0"/>
          <w:szCs w:val="20"/>
        </w:rPr>
        <w:t>盐</w:t>
      </w:r>
      <w:r w:rsidRPr="00743D16">
        <w:rPr>
          <w:rFonts w:hint="eastAsia"/>
          <w:kern w:val="0"/>
          <w:szCs w:val="20"/>
        </w:rPr>
        <w:t>进行</w:t>
      </w:r>
      <w:proofErr w:type="gramEnd"/>
      <w:r w:rsidRPr="00743D16">
        <w:rPr>
          <w:kern w:val="0"/>
          <w:szCs w:val="20"/>
        </w:rPr>
        <w:t>定性</w:t>
      </w:r>
      <w:r w:rsidRPr="00743D16">
        <w:rPr>
          <w:rFonts w:hint="eastAsia"/>
          <w:kern w:val="0"/>
          <w:szCs w:val="20"/>
        </w:rPr>
        <w:t>判定</w:t>
      </w:r>
      <w:r w:rsidRPr="00743D16">
        <w:rPr>
          <w:kern w:val="0"/>
          <w:szCs w:val="20"/>
        </w:rPr>
        <w:t>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试剂和材料</w:t>
      </w:r>
    </w:p>
    <w:p w:rsidR="003F76A6" w:rsidRDefault="003063FE" w:rsidP="0077000E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>
        <w:rPr>
          <w:kern w:val="0"/>
          <w:szCs w:val="20"/>
        </w:rPr>
        <w:t>除另有规定外，本方法所用试剂均为分析纯，水为</w:t>
      </w:r>
      <w:r>
        <w:rPr>
          <w:kern w:val="0"/>
          <w:szCs w:val="20"/>
        </w:rPr>
        <w:t>GB/T6682</w:t>
      </w:r>
      <w:r>
        <w:rPr>
          <w:kern w:val="0"/>
          <w:szCs w:val="20"/>
        </w:rPr>
        <w:t>规定的二级水。</w:t>
      </w:r>
    </w:p>
    <w:p w:rsidR="003F76A6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试剂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对氨基苯磺酸。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</w:rPr>
      </w:pPr>
      <w:r>
        <w:rPr>
          <w:rFonts w:ascii="Times New Roman" w:eastAsia="宋体"/>
          <w:szCs w:val="20"/>
        </w:rPr>
        <w:t>盐酸</w:t>
      </w:r>
      <w:proofErr w:type="gramStart"/>
      <w:r>
        <w:rPr>
          <w:rFonts w:ascii="Times New Roman" w:eastAsia="宋体"/>
        </w:rPr>
        <w:t>萘</w:t>
      </w:r>
      <w:proofErr w:type="gramEnd"/>
      <w:r>
        <w:rPr>
          <w:rFonts w:ascii="Times New Roman" w:eastAsia="宋体"/>
        </w:rPr>
        <w:t>乙二胺</w:t>
      </w:r>
      <w:r>
        <w:rPr>
          <w:rFonts w:ascii="Times New Roman" w:eastAsia="宋体"/>
          <w:szCs w:val="20"/>
        </w:rPr>
        <w:t>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</w:rPr>
      </w:pPr>
      <w:r>
        <w:rPr>
          <w:rFonts w:ascii="Times New Roman" w:eastAsia="宋体" w:hint="eastAsia"/>
        </w:rPr>
        <w:t>盐酸</w:t>
      </w:r>
      <w:r>
        <w:rPr>
          <w:rFonts w:ascii="Times New Roman" w:eastAsia="宋体"/>
          <w:szCs w:val="20"/>
        </w:rPr>
        <w:t>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 w:hint="eastAsia"/>
          <w:szCs w:val="20"/>
        </w:rPr>
        <w:t>盐酸（</w:t>
      </w:r>
      <w:r>
        <w:rPr>
          <w:rFonts w:ascii="Times New Roman" w:eastAsia="宋体" w:hint="eastAsia"/>
          <w:szCs w:val="20"/>
        </w:rPr>
        <w:t>20%</w:t>
      </w:r>
      <w:r>
        <w:rPr>
          <w:rFonts w:ascii="Times New Roman" w:eastAsia="宋体" w:hint="eastAsia"/>
          <w:szCs w:val="20"/>
        </w:rPr>
        <w:t>）：量取</w:t>
      </w:r>
      <w:r w:rsidR="00E47C3D">
        <w:rPr>
          <w:rFonts w:ascii="Times New Roman" w:eastAsia="宋体" w:hint="eastAsia"/>
          <w:szCs w:val="20"/>
        </w:rPr>
        <w:t>20</w:t>
      </w:r>
      <w:r>
        <w:rPr>
          <w:rFonts w:ascii="Times New Roman" w:eastAsia="宋体" w:hint="eastAsia"/>
          <w:szCs w:val="20"/>
        </w:rPr>
        <w:t>mL</w:t>
      </w:r>
      <w:r>
        <w:rPr>
          <w:rFonts w:ascii="Times New Roman" w:eastAsia="宋体" w:hint="eastAsia"/>
          <w:szCs w:val="20"/>
        </w:rPr>
        <w:t>盐酸，用水稀释至</w:t>
      </w:r>
      <w:r>
        <w:rPr>
          <w:rFonts w:ascii="Times New Roman" w:eastAsia="宋体" w:hint="eastAsia"/>
          <w:szCs w:val="20"/>
        </w:rPr>
        <w:t>100mL</w:t>
      </w:r>
      <w:r>
        <w:rPr>
          <w:rFonts w:ascii="Times New Roman" w:eastAsia="宋体" w:hint="eastAsia"/>
          <w:szCs w:val="20"/>
        </w:rPr>
        <w:t>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对氨基苯磺酸溶液（</w:t>
      </w:r>
      <w:r w:rsidR="00E47C3D">
        <w:rPr>
          <w:rFonts w:ascii="Times New Roman" w:eastAsia="宋体"/>
          <w:szCs w:val="20"/>
        </w:rPr>
        <w:t>4</w:t>
      </w:r>
      <w:r>
        <w:rPr>
          <w:rFonts w:ascii="Times New Roman" w:eastAsia="宋体"/>
          <w:szCs w:val="20"/>
        </w:rPr>
        <w:t>g/L</w:t>
      </w:r>
      <w:r>
        <w:rPr>
          <w:rFonts w:ascii="Times New Roman" w:eastAsia="宋体"/>
          <w:szCs w:val="20"/>
        </w:rPr>
        <w:t>）：称取</w:t>
      </w:r>
      <w:r w:rsidR="00E47C3D">
        <w:rPr>
          <w:rFonts w:ascii="Times New Roman" w:eastAsia="宋体"/>
          <w:szCs w:val="20"/>
        </w:rPr>
        <w:t>0.4</w:t>
      </w:r>
      <w:r>
        <w:rPr>
          <w:rFonts w:ascii="Times New Roman" w:eastAsia="宋体"/>
          <w:szCs w:val="20"/>
        </w:rPr>
        <w:t>g</w:t>
      </w:r>
      <w:r>
        <w:rPr>
          <w:rFonts w:ascii="Times New Roman" w:eastAsia="宋体"/>
          <w:szCs w:val="20"/>
        </w:rPr>
        <w:t>对氨基苯磺酸，溶于</w:t>
      </w:r>
      <w:r w:rsidR="00E47C3D">
        <w:rPr>
          <w:rFonts w:ascii="Times New Roman" w:eastAsia="宋体"/>
          <w:szCs w:val="20"/>
        </w:rPr>
        <w:t>100mL</w:t>
      </w:r>
      <w:r>
        <w:rPr>
          <w:rFonts w:ascii="Times New Roman" w:eastAsia="宋体"/>
          <w:szCs w:val="20"/>
        </w:rPr>
        <w:t>20%</w:t>
      </w:r>
      <w:r>
        <w:rPr>
          <w:rFonts w:ascii="Times New Roman" w:eastAsia="宋体"/>
          <w:szCs w:val="20"/>
        </w:rPr>
        <w:t>盐酸中，混匀，置棕色瓶中，临用新制。</w:t>
      </w:r>
    </w:p>
    <w:p w:rsidR="003F76A6" w:rsidRDefault="003063FE" w:rsidP="0077000E">
      <w:pPr>
        <w:pStyle w:val="ae"/>
        <w:widowControl w:val="0"/>
        <w:numPr>
          <w:ilvl w:val="2"/>
          <w:numId w:val="1"/>
        </w:numPr>
        <w:spacing w:beforeLines="0" w:before="0" w:afterLines="0" w:after="0"/>
        <w:ind w:left="2" w:firstLine="0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盐酸</w:t>
      </w:r>
      <w:proofErr w:type="gramStart"/>
      <w:r>
        <w:rPr>
          <w:rFonts w:ascii="Times New Roman" w:eastAsia="宋体"/>
          <w:szCs w:val="20"/>
        </w:rPr>
        <w:t>萘</w:t>
      </w:r>
      <w:proofErr w:type="gramEnd"/>
      <w:r>
        <w:rPr>
          <w:rFonts w:ascii="Times New Roman" w:eastAsia="宋体"/>
          <w:szCs w:val="20"/>
        </w:rPr>
        <w:t>乙二胺溶液（</w:t>
      </w:r>
      <w:r w:rsidR="00E47C3D">
        <w:rPr>
          <w:rFonts w:ascii="Times New Roman" w:eastAsia="宋体"/>
          <w:szCs w:val="20"/>
        </w:rPr>
        <w:t>2</w:t>
      </w:r>
      <w:r>
        <w:rPr>
          <w:rFonts w:ascii="Times New Roman" w:eastAsia="宋体"/>
          <w:szCs w:val="20"/>
        </w:rPr>
        <w:t>g/L</w:t>
      </w:r>
      <w:r>
        <w:rPr>
          <w:rFonts w:ascii="Times New Roman" w:eastAsia="宋体"/>
          <w:szCs w:val="20"/>
        </w:rPr>
        <w:t>）：称取</w:t>
      </w:r>
      <w:r w:rsidR="00E47C3D">
        <w:rPr>
          <w:rFonts w:ascii="Times New Roman" w:eastAsia="宋体"/>
          <w:szCs w:val="20"/>
        </w:rPr>
        <w:t>0.2</w:t>
      </w:r>
      <w:r>
        <w:rPr>
          <w:rFonts w:ascii="Times New Roman" w:eastAsia="宋体"/>
          <w:szCs w:val="20"/>
        </w:rPr>
        <w:t>g</w:t>
      </w:r>
      <w:r>
        <w:rPr>
          <w:rFonts w:ascii="Times New Roman" w:eastAsia="宋体"/>
          <w:szCs w:val="20"/>
        </w:rPr>
        <w:t>盐酸</w:t>
      </w:r>
      <w:proofErr w:type="gramStart"/>
      <w:r>
        <w:rPr>
          <w:rFonts w:ascii="Times New Roman" w:eastAsia="宋体"/>
          <w:szCs w:val="20"/>
        </w:rPr>
        <w:t>萘</w:t>
      </w:r>
      <w:proofErr w:type="gramEnd"/>
      <w:r>
        <w:rPr>
          <w:rFonts w:ascii="Times New Roman" w:eastAsia="宋体"/>
          <w:szCs w:val="20"/>
        </w:rPr>
        <w:t>乙二胺，溶解于</w:t>
      </w:r>
      <w:r>
        <w:rPr>
          <w:rFonts w:ascii="Times New Roman" w:eastAsia="宋体"/>
          <w:szCs w:val="20"/>
        </w:rPr>
        <w:t>100mL</w:t>
      </w:r>
      <w:r>
        <w:rPr>
          <w:rFonts w:ascii="Times New Roman" w:eastAsia="宋体"/>
          <w:szCs w:val="20"/>
        </w:rPr>
        <w:t>水中，混匀，置棕色瓶中，临用新制。</w:t>
      </w:r>
    </w:p>
    <w:p w:rsidR="003F76A6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参考物质</w:t>
      </w:r>
    </w:p>
    <w:p w:rsidR="0068760D" w:rsidRPr="0077000E" w:rsidRDefault="00743D16" w:rsidP="0077000E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kern w:val="0"/>
          <w:szCs w:val="20"/>
        </w:rPr>
      </w:pPr>
      <w:r w:rsidRPr="0077000E">
        <w:rPr>
          <w:kern w:val="0"/>
          <w:szCs w:val="20"/>
        </w:rPr>
        <w:t>亚硝酸钠参考物质中文名称、英文名称、</w:t>
      </w:r>
      <w:r w:rsidRPr="0077000E">
        <w:rPr>
          <w:kern w:val="0"/>
          <w:szCs w:val="20"/>
        </w:rPr>
        <w:t>CAS</w:t>
      </w:r>
      <w:r w:rsidRPr="0077000E">
        <w:rPr>
          <w:kern w:val="0"/>
          <w:szCs w:val="20"/>
        </w:rPr>
        <w:t>号、分子式、相对分</w:t>
      </w:r>
      <w:r w:rsidRPr="0077000E">
        <w:rPr>
          <w:rFonts w:hint="eastAsia"/>
          <w:kern w:val="0"/>
          <w:szCs w:val="20"/>
        </w:rPr>
        <w:t>子</w:t>
      </w:r>
      <w:r w:rsidRPr="0077000E">
        <w:rPr>
          <w:kern w:val="0"/>
          <w:szCs w:val="20"/>
        </w:rPr>
        <w:t>质量见表</w:t>
      </w:r>
      <w:r w:rsidRPr="0077000E">
        <w:rPr>
          <w:kern w:val="0"/>
          <w:szCs w:val="20"/>
        </w:rPr>
        <w:t>1</w:t>
      </w:r>
      <w:r w:rsidRPr="0077000E">
        <w:rPr>
          <w:kern w:val="0"/>
          <w:szCs w:val="20"/>
        </w:rPr>
        <w:t>，纯度</w:t>
      </w:r>
      <w:r w:rsidRPr="0077000E">
        <w:rPr>
          <w:rFonts w:hint="eastAsia"/>
          <w:kern w:val="0"/>
          <w:szCs w:val="20"/>
        </w:rPr>
        <w:t>≥</w:t>
      </w:r>
      <w:r w:rsidRPr="0077000E">
        <w:rPr>
          <w:kern w:val="0"/>
          <w:szCs w:val="20"/>
        </w:rPr>
        <w:t>99%</w:t>
      </w:r>
      <w:r w:rsidRPr="0077000E">
        <w:rPr>
          <w:kern w:val="0"/>
          <w:szCs w:val="20"/>
        </w:rPr>
        <w:t>。</w:t>
      </w:r>
    </w:p>
    <w:p w:rsidR="003F76A6" w:rsidRDefault="003063FE" w:rsidP="0077000E">
      <w:pPr>
        <w:pStyle w:val="aa"/>
        <w:spacing w:beforeLines="50" w:before="156" w:afterLines="50" w:after="156"/>
        <w:ind w:firstLineChars="0" w:firstLine="0"/>
        <w:jc w:val="center"/>
        <w:rPr>
          <w:rFonts w:ascii="Times New Roman" w:eastAsia="黑体"/>
        </w:rPr>
      </w:pPr>
      <w:r>
        <w:rPr>
          <w:rFonts w:ascii="Times New Roman" w:eastAsia="黑体"/>
          <w:szCs w:val="21"/>
        </w:rPr>
        <w:t>表</w:t>
      </w:r>
      <w:r w:rsidR="00E47C3D">
        <w:rPr>
          <w:rFonts w:ascii="Times New Roman" w:eastAsia="黑体"/>
          <w:szCs w:val="21"/>
        </w:rPr>
        <w:t>1</w:t>
      </w:r>
      <w:r w:rsidR="0068760D">
        <w:rPr>
          <w:rFonts w:ascii="Times New Roman" w:eastAsia="黑体" w:hint="eastAsia"/>
          <w:szCs w:val="21"/>
        </w:rPr>
        <w:t xml:space="preserve"> </w:t>
      </w:r>
      <w:r>
        <w:rPr>
          <w:rFonts w:ascii="Times New Roman" w:eastAsia="黑体"/>
          <w:szCs w:val="21"/>
        </w:rPr>
        <w:t>亚硝酸钠</w:t>
      </w:r>
      <w:r>
        <w:rPr>
          <w:rFonts w:ascii="Times New Roman" w:eastAsia="黑体"/>
        </w:rPr>
        <w:t>中文名称、英文名称、</w:t>
      </w:r>
      <w:r>
        <w:rPr>
          <w:rFonts w:ascii="Times New Roman" w:eastAsia="黑体"/>
        </w:rPr>
        <w:t>CAS</w:t>
      </w:r>
      <w:r>
        <w:rPr>
          <w:rFonts w:ascii="Times New Roman" w:eastAsia="黑体"/>
        </w:rPr>
        <w:t>登记号、分子式、相对分</w:t>
      </w:r>
      <w:r>
        <w:rPr>
          <w:rFonts w:ascii="Times New Roman" w:eastAsia="黑体" w:hint="eastAsia"/>
        </w:rPr>
        <w:t>子</w:t>
      </w:r>
      <w:r>
        <w:rPr>
          <w:rFonts w:ascii="Times New Roman" w:eastAsia="黑体"/>
        </w:rPr>
        <w:t>质量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F76A6" w:rsidTr="0068760D">
        <w:trPr>
          <w:trHeight w:hRule="exact" w:val="596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中文名称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英文名称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CAS</w:t>
            </w:r>
            <w:r>
              <w:rPr>
                <w:rFonts w:ascii="Times New Roman"/>
              </w:rPr>
              <w:t>登录号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分子式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相对分子质量</w:t>
            </w:r>
          </w:p>
        </w:tc>
      </w:tr>
      <w:tr w:rsidR="003F76A6" w:rsidTr="0068760D">
        <w:trPr>
          <w:trHeight w:hRule="exact" w:val="576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亚硝酸钠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proofErr w:type="spellStart"/>
            <w:r>
              <w:rPr>
                <w:rFonts w:ascii="Times New Roman"/>
              </w:rPr>
              <w:t>Sodiumnitrite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7632-00-0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NaNO</w:t>
            </w:r>
            <w:r>
              <w:rPr>
                <w:rFonts w:ascii="Times New Roman"/>
                <w:vertAlign w:val="subscript"/>
              </w:rPr>
              <w:t>2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F76A6" w:rsidRDefault="003063FE">
            <w:pPr>
              <w:pStyle w:val="aa"/>
              <w:ind w:firstLineChars="0" w:firstLine="0"/>
              <w:jc w:val="center"/>
              <w:rPr>
                <w:rFonts w:ascii="Times New Roman" w:eastAsia="黑体"/>
                <w:szCs w:val="21"/>
              </w:rPr>
            </w:pPr>
            <w:r>
              <w:rPr>
                <w:rFonts w:ascii="Times New Roman"/>
              </w:rPr>
              <w:t>69.00</w:t>
            </w:r>
          </w:p>
        </w:tc>
      </w:tr>
    </w:tbl>
    <w:p w:rsidR="00743D16" w:rsidRDefault="00743D16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标准溶液配制</w:t>
      </w:r>
    </w:p>
    <w:p w:rsidR="00743D16" w:rsidRPr="00743D16" w:rsidRDefault="00743D16" w:rsidP="00743D16">
      <w:pPr>
        <w:pStyle w:val="aa"/>
        <w:rPr>
          <w:rFonts w:ascii="Times New Roman" w:hAnsi="Times New Roman" w:cs="Times New Roman"/>
        </w:rPr>
      </w:pPr>
      <w:r w:rsidRPr="00743D16">
        <w:rPr>
          <w:rFonts w:ascii="Times New Roman" w:hAnsi="Times New Roman" w:cs="Times New Roman"/>
        </w:rPr>
        <w:t>亚硝酸</w:t>
      </w:r>
      <w:proofErr w:type="gramStart"/>
      <w:r w:rsidRPr="00743D16">
        <w:rPr>
          <w:rFonts w:ascii="Times New Roman" w:hAnsi="Times New Roman" w:cs="Times New Roman"/>
        </w:rPr>
        <w:t>钠标准</w:t>
      </w:r>
      <w:proofErr w:type="gramEnd"/>
      <w:r w:rsidRPr="00743D16">
        <w:rPr>
          <w:rFonts w:ascii="Times New Roman" w:hAnsi="Times New Roman" w:cs="Times New Roman"/>
        </w:rPr>
        <w:t>工作液（</w:t>
      </w:r>
      <w:r w:rsidR="00E47C3D">
        <w:rPr>
          <w:rFonts w:ascii="Times New Roman" w:hAnsi="Times New Roman" w:cs="Times New Roman"/>
        </w:rPr>
        <w:t>200</w:t>
      </w:r>
      <w:r w:rsidRPr="00743D16">
        <w:rPr>
          <w:rFonts w:ascii="Times New Roman" w:hAnsi="Times New Roman" w:cs="Times New Roman"/>
          <w:spacing w:val="5"/>
          <w:szCs w:val="21"/>
        </w:rPr>
        <w:t>µ</w:t>
      </w:r>
      <w:r w:rsidRPr="00743D16">
        <w:rPr>
          <w:rFonts w:ascii="Times New Roman" w:hAnsi="Times New Roman" w:cs="Times New Roman"/>
        </w:rPr>
        <w:t>g/</w:t>
      </w:r>
      <w:r w:rsidRPr="00743D16">
        <w:rPr>
          <w:rFonts w:ascii="Times New Roman" w:eastAsia="宋体" w:hAnsi="Times New Roman" w:cs="Times New Roman"/>
          <w:szCs w:val="20"/>
        </w:rPr>
        <w:t>mL</w:t>
      </w:r>
      <w:r w:rsidRPr="00743D16">
        <w:rPr>
          <w:rFonts w:ascii="Times New Roman" w:eastAsia="宋体" w:hAnsi="Times New Roman" w:cs="Times New Roman"/>
          <w:szCs w:val="20"/>
        </w:rPr>
        <w:t>，以亚硝酸钠计）</w:t>
      </w:r>
      <w:r w:rsidRPr="00743D16">
        <w:rPr>
          <w:rFonts w:ascii="Times New Roman" w:hAnsi="Times New Roman" w:cs="Times New Roman"/>
        </w:rPr>
        <w:t>：精密称取适量经</w:t>
      </w:r>
      <w:r w:rsidRPr="00743D16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 w:hint="eastAsia"/>
        </w:rPr>
        <w:t>℃</w:t>
      </w:r>
      <w:r w:rsidR="00E47C3D">
        <w:rPr>
          <w:rFonts w:ascii="Times New Roman" w:hAnsi="Times New Roman" w:cs="Times New Roman" w:hint="eastAsia"/>
        </w:rPr>
        <w:t>—</w:t>
      </w:r>
      <w:r w:rsidRPr="00743D16">
        <w:rPr>
          <w:rFonts w:ascii="Times New Roman" w:hAnsi="Times New Roman" w:cs="Times New Roman"/>
        </w:rPr>
        <w:t>120</w:t>
      </w:r>
      <w:r w:rsidRPr="00743D16">
        <w:rPr>
          <w:rFonts w:eastAsia="宋体" w:hAnsi="宋体" w:cs="宋体" w:hint="eastAsia"/>
        </w:rPr>
        <w:t>℃</w:t>
      </w:r>
      <w:r w:rsidRPr="00743D16">
        <w:rPr>
          <w:rFonts w:ascii="Times New Roman" w:eastAsia="宋体" w:hAnsi="Times New Roman" w:cs="Times New Roman"/>
        </w:rPr>
        <w:t>干燥恒重的</w:t>
      </w:r>
      <w:r w:rsidRPr="00743D16">
        <w:rPr>
          <w:rFonts w:ascii="Times New Roman" w:hAnsi="Times New Roman" w:cs="Times New Roman"/>
        </w:rPr>
        <w:t>亚硝酸钠参考物质（</w:t>
      </w:r>
      <w:r w:rsidRPr="00743D16">
        <w:rPr>
          <w:rFonts w:ascii="Times New Roman" w:hAnsi="Times New Roman" w:cs="Times New Roman"/>
        </w:rPr>
        <w:t>3.2</w:t>
      </w:r>
      <w:r w:rsidRPr="00743D16">
        <w:rPr>
          <w:rFonts w:ascii="Times New Roman" w:hAnsi="Times New Roman" w:cs="Times New Roman"/>
        </w:rPr>
        <w:t>），加水溶解，移入</w:t>
      </w:r>
      <w:r w:rsidRPr="00743D16">
        <w:rPr>
          <w:rFonts w:ascii="Times New Roman" w:hAnsi="Times New Roman" w:cs="Times New Roman"/>
        </w:rPr>
        <w:t>250</w:t>
      </w:r>
      <w:r w:rsidRPr="00743D16">
        <w:rPr>
          <w:rFonts w:ascii="Times New Roman" w:hAnsi="Times New Roman" w:cs="Times New Roman"/>
          <w:spacing w:val="5"/>
          <w:szCs w:val="21"/>
        </w:rPr>
        <w:t>mL</w:t>
      </w:r>
      <w:r w:rsidRPr="00743D16">
        <w:rPr>
          <w:rFonts w:ascii="Times New Roman" w:hAnsi="Times New Roman" w:cs="Times New Roman"/>
          <w:spacing w:val="5"/>
          <w:szCs w:val="21"/>
        </w:rPr>
        <w:t>容量瓶中，加水稀释至刻度，混匀。</w:t>
      </w:r>
    </w:p>
    <w:p w:rsidR="003F76A6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材料</w:t>
      </w:r>
    </w:p>
    <w:p w:rsidR="003F76A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亚硝酸</w:t>
      </w:r>
      <w:proofErr w:type="gramStart"/>
      <w:r w:rsidRPr="0077000E">
        <w:rPr>
          <w:rFonts w:ascii="Times New Roman" w:hAnsi="Times New Roman" w:cs="Times New Roman"/>
        </w:rPr>
        <w:t>盐快速</w:t>
      </w:r>
      <w:proofErr w:type="gramEnd"/>
      <w:r w:rsidRPr="0077000E">
        <w:rPr>
          <w:rFonts w:ascii="Times New Roman" w:hAnsi="Times New Roman" w:cs="Times New Roman"/>
        </w:rPr>
        <w:t>检测试剂盒</w:t>
      </w:r>
      <w:r w:rsidRPr="0077000E">
        <w:rPr>
          <w:rFonts w:ascii="Times New Roman" w:hAnsi="Times New Roman" w:cs="Times New Roman" w:hint="eastAsia"/>
        </w:rPr>
        <w:t>：</w:t>
      </w:r>
      <w:r w:rsidRPr="0077000E">
        <w:rPr>
          <w:rFonts w:ascii="Times New Roman" w:hAnsi="Times New Roman" w:cs="Times New Roman"/>
        </w:rPr>
        <w:t>适用基质为肉及肉制品，</w:t>
      </w:r>
      <w:r w:rsidR="003063FE" w:rsidRPr="0077000E">
        <w:rPr>
          <w:rFonts w:ascii="Times New Roman" w:hAnsi="Times New Roman" w:cs="Times New Roman"/>
        </w:rPr>
        <w:t>需在阴凉、干燥、避光条件下保存。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仪器和设备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proofErr w:type="gramStart"/>
      <w:r w:rsidRPr="0077000E">
        <w:rPr>
          <w:rFonts w:ascii="Times New Roman"/>
        </w:rPr>
        <w:t>移液器</w:t>
      </w:r>
      <w:proofErr w:type="gramEnd"/>
      <w:r w:rsidRPr="0077000E">
        <w:rPr>
          <w:rFonts w:ascii="Times New Roman"/>
        </w:rPr>
        <w:t>：</w:t>
      </w:r>
      <w:r w:rsidR="00E47C3D" w:rsidRPr="0077000E">
        <w:rPr>
          <w:rFonts w:ascii="Times New Roman"/>
        </w:rPr>
        <w:t>200</w:t>
      </w:r>
      <w:r w:rsidRPr="0077000E">
        <w:rPr>
          <w:rFonts w:ascii="Times New Roman"/>
        </w:rPr>
        <w:t>µL</w:t>
      </w:r>
      <w:r w:rsidR="00743D16" w:rsidRPr="0077000E">
        <w:rPr>
          <w:rFonts w:ascii="Times New Roman" w:hint="eastAsia"/>
        </w:rPr>
        <w:t>，</w:t>
      </w:r>
      <w:r w:rsidR="00E47C3D" w:rsidRPr="0077000E">
        <w:rPr>
          <w:rFonts w:ascii="Times New Roman"/>
        </w:rPr>
        <w:t>1</w:t>
      </w:r>
      <w:r w:rsidRPr="0077000E">
        <w:rPr>
          <w:rFonts w:ascii="Times New Roman"/>
        </w:rPr>
        <w:t>mL</w:t>
      </w:r>
      <w:r w:rsidRPr="0077000E">
        <w:rPr>
          <w:rFonts w:ascii="Times New Roman"/>
        </w:rPr>
        <w:t>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77000E">
        <w:rPr>
          <w:rFonts w:ascii="Times New Roman"/>
        </w:rPr>
        <w:t>涡旋混合器或超声仪。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77000E">
        <w:rPr>
          <w:rFonts w:ascii="Times New Roman"/>
        </w:rPr>
        <w:t>电子天平或手持式天平：</w:t>
      </w:r>
      <w:proofErr w:type="gramStart"/>
      <w:r w:rsidR="00743D16" w:rsidRPr="0077000E">
        <w:rPr>
          <w:rFonts w:ascii="Times New Roman" w:hint="eastAsia"/>
        </w:rPr>
        <w:t>感</w:t>
      </w:r>
      <w:proofErr w:type="gramEnd"/>
      <w:r w:rsidR="00743D16" w:rsidRPr="0077000E">
        <w:rPr>
          <w:rFonts w:ascii="Times New Roman" w:hint="eastAsia"/>
        </w:rPr>
        <w:t>量为</w:t>
      </w:r>
      <w:r w:rsidR="00743D16" w:rsidRPr="0077000E">
        <w:rPr>
          <w:rFonts w:ascii="Times New Roman"/>
        </w:rPr>
        <w:t>0.</w:t>
      </w:r>
      <w:r w:rsidR="00743D16" w:rsidRPr="0077000E">
        <w:rPr>
          <w:rFonts w:ascii="Times New Roman" w:hint="eastAsia"/>
        </w:rPr>
        <w:t>0</w:t>
      </w:r>
      <w:r w:rsidR="00E47C3D" w:rsidRPr="0077000E">
        <w:rPr>
          <w:rFonts w:ascii="Times New Roman"/>
        </w:rPr>
        <w:t>1</w:t>
      </w:r>
      <w:r w:rsidR="00743D16" w:rsidRPr="0077000E">
        <w:rPr>
          <w:rFonts w:ascii="Times New Roman"/>
        </w:rPr>
        <w:t>g</w:t>
      </w:r>
      <w:r w:rsidR="00743D16" w:rsidRPr="0077000E">
        <w:rPr>
          <w:rFonts w:ascii="Times New Roman" w:hint="eastAsia"/>
        </w:rPr>
        <w:t>和</w:t>
      </w:r>
      <w:r w:rsidR="00E47C3D" w:rsidRPr="0077000E">
        <w:rPr>
          <w:rFonts w:ascii="Times New Roman" w:hint="eastAsia"/>
        </w:rPr>
        <w:t>0.0001</w:t>
      </w:r>
      <w:r w:rsidR="00743D16" w:rsidRPr="0077000E">
        <w:rPr>
          <w:rFonts w:ascii="Times New Roman" w:hint="eastAsia"/>
        </w:rPr>
        <w:t>g</w:t>
      </w:r>
      <w:r w:rsidRPr="0077000E">
        <w:rPr>
          <w:rFonts w:ascii="Times New Roman"/>
        </w:rPr>
        <w:t>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77000E">
        <w:rPr>
          <w:rFonts w:ascii="Times New Roman"/>
        </w:rPr>
        <w:t>离心机。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77000E">
        <w:rPr>
          <w:rFonts w:ascii="Times New Roman"/>
        </w:rPr>
        <w:t>微孔滤膜：</w:t>
      </w:r>
      <w:r w:rsidR="00E47C3D" w:rsidRPr="0077000E">
        <w:rPr>
          <w:rFonts w:ascii="Times New Roman"/>
        </w:rPr>
        <w:t>0.45</w:t>
      </w:r>
      <w:r w:rsidRPr="0077000E">
        <w:rPr>
          <w:rFonts w:ascii="Times New Roman"/>
        </w:rPr>
        <w:t>μm</w:t>
      </w:r>
      <w:r w:rsidRPr="0077000E">
        <w:rPr>
          <w:rFonts w:ascii="Times New Roman"/>
        </w:rPr>
        <w:t>（水系）。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分析步骤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 w:rsidRPr="0077000E">
        <w:rPr>
          <w:rFonts w:ascii="Times New Roman"/>
        </w:rPr>
        <w:t>试样制备</w:t>
      </w:r>
    </w:p>
    <w:p w:rsidR="003F76A6" w:rsidRPr="0077000E" w:rsidRDefault="003063FE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取适量有代表性样品的可食部分，充分粉碎混匀。</w:t>
      </w:r>
    </w:p>
    <w:p w:rsidR="003F76A6" w:rsidRDefault="00743D16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试样</w:t>
      </w:r>
      <w:r>
        <w:rPr>
          <w:rFonts w:ascii="Times New Roman" w:hint="eastAsia"/>
        </w:rPr>
        <w:t>的</w:t>
      </w:r>
      <w:r>
        <w:rPr>
          <w:rFonts w:ascii="Times New Roman"/>
        </w:rPr>
        <w:t>提取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准确称取试样</w:t>
      </w:r>
      <w:r w:rsidR="00E47C3D" w:rsidRPr="0077000E">
        <w:rPr>
          <w:rFonts w:ascii="Times New Roman" w:hAnsi="Times New Roman" w:cs="Times New Roman"/>
        </w:rPr>
        <w:t>1</w:t>
      </w:r>
      <w:r w:rsidRPr="0077000E">
        <w:rPr>
          <w:rFonts w:ascii="Times New Roman" w:hAnsi="Times New Roman" w:cs="Times New Roman"/>
        </w:rPr>
        <w:t>g</w:t>
      </w:r>
      <w:r w:rsidRPr="0077000E">
        <w:rPr>
          <w:rFonts w:ascii="Times New Roman" w:hAnsi="Times New Roman" w:cs="Times New Roman"/>
        </w:rPr>
        <w:t>（精确至</w:t>
      </w:r>
      <w:r w:rsidR="00E47C3D" w:rsidRPr="0077000E">
        <w:rPr>
          <w:rFonts w:ascii="Times New Roman" w:hAnsi="Times New Roman" w:cs="Times New Roman"/>
        </w:rPr>
        <w:t>0.01</w:t>
      </w:r>
      <w:r w:rsidRPr="0077000E">
        <w:rPr>
          <w:rFonts w:ascii="Times New Roman" w:hAnsi="Times New Roman" w:cs="Times New Roman"/>
        </w:rPr>
        <w:t>g</w:t>
      </w:r>
      <w:r w:rsidRPr="0077000E">
        <w:rPr>
          <w:rFonts w:ascii="Times New Roman" w:hAnsi="Times New Roman" w:cs="Times New Roman"/>
        </w:rPr>
        <w:t>），置于离心管中，准确加水</w:t>
      </w:r>
      <w:r w:rsidR="00E47C3D" w:rsidRPr="0077000E">
        <w:rPr>
          <w:rFonts w:ascii="Times New Roman" w:hAnsi="Times New Roman" w:cs="Times New Roman"/>
        </w:rPr>
        <w:t>10</w:t>
      </w:r>
      <w:r w:rsidRPr="0077000E">
        <w:rPr>
          <w:rFonts w:ascii="Times New Roman" w:hAnsi="Times New Roman" w:cs="Times New Roman"/>
        </w:rPr>
        <w:t>mL</w:t>
      </w:r>
      <w:r w:rsidRPr="0077000E">
        <w:rPr>
          <w:rFonts w:ascii="Times New Roman" w:hAnsi="Times New Roman" w:cs="Times New Roman"/>
        </w:rPr>
        <w:t>，超声或涡旋振荡提取</w:t>
      </w:r>
      <w:r w:rsidR="00E47C3D" w:rsidRPr="0077000E">
        <w:rPr>
          <w:rFonts w:ascii="Times New Roman" w:hAnsi="Times New Roman" w:cs="Times New Roman"/>
        </w:rPr>
        <w:t>5</w:t>
      </w:r>
      <w:r w:rsidRPr="0077000E">
        <w:rPr>
          <w:rFonts w:ascii="Times New Roman" w:hAnsi="Times New Roman" w:cs="Times New Roman"/>
        </w:rPr>
        <w:t>min</w:t>
      </w:r>
      <w:r w:rsidRPr="0077000E">
        <w:rPr>
          <w:rFonts w:ascii="Times New Roman" w:hAnsi="Times New Roman" w:cs="Times New Roman"/>
        </w:rPr>
        <w:t>，静置</w:t>
      </w:r>
      <w:r w:rsidR="00E47C3D" w:rsidRPr="0077000E">
        <w:rPr>
          <w:rFonts w:ascii="Times New Roman" w:hAnsi="Times New Roman" w:cs="Times New Roman"/>
        </w:rPr>
        <w:t>10</w:t>
      </w:r>
      <w:r w:rsidRPr="0077000E">
        <w:rPr>
          <w:rFonts w:ascii="Times New Roman" w:hAnsi="Times New Roman" w:cs="Times New Roman"/>
        </w:rPr>
        <w:t>min</w:t>
      </w:r>
      <w:r w:rsidRPr="0077000E">
        <w:rPr>
          <w:rFonts w:ascii="Times New Roman" w:hAnsi="Times New Roman" w:cs="Times New Roman"/>
        </w:rPr>
        <w:t>。准确吸取</w:t>
      </w:r>
      <w:r w:rsidR="00E47C3D" w:rsidRPr="0077000E">
        <w:rPr>
          <w:rFonts w:ascii="Times New Roman" w:hAnsi="Times New Roman" w:cs="Times New Roman"/>
        </w:rPr>
        <w:t>1</w:t>
      </w:r>
      <w:r w:rsidRPr="0077000E">
        <w:rPr>
          <w:rFonts w:ascii="Times New Roman" w:hAnsi="Times New Roman" w:cs="Times New Roman"/>
        </w:rPr>
        <w:t>mL</w:t>
      </w:r>
      <w:r w:rsidRPr="0077000E">
        <w:rPr>
          <w:rFonts w:ascii="Times New Roman" w:hAnsi="Times New Roman" w:cs="Times New Roman"/>
        </w:rPr>
        <w:t>上清液（如样品浑浊，</w:t>
      </w:r>
      <w:r w:rsidRPr="0077000E">
        <w:rPr>
          <w:rFonts w:asciiTheme="minorEastAsia" w:hAnsiTheme="minorEastAsia" w:cs="Times New Roman"/>
        </w:rPr>
        <w:t>≥</w:t>
      </w:r>
      <w:r w:rsidRPr="0077000E">
        <w:rPr>
          <w:rFonts w:ascii="Times New Roman" w:hAnsi="Times New Roman" w:cs="Times New Roman"/>
        </w:rPr>
        <w:t>3</w:t>
      </w:r>
      <w:r w:rsidR="00E47C3D" w:rsidRPr="0077000E">
        <w:rPr>
          <w:rFonts w:ascii="Times New Roman" w:hAnsi="Times New Roman" w:cs="Times New Roman"/>
        </w:rPr>
        <w:t>000</w:t>
      </w:r>
      <w:r w:rsidRPr="0077000E">
        <w:rPr>
          <w:rFonts w:ascii="Times New Roman" w:hAnsi="Times New Roman" w:cs="Times New Roman"/>
        </w:rPr>
        <w:t>r/min</w:t>
      </w:r>
      <w:r w:rsidRPr="0077000E">
        <w:rPr>
          <w:rFonts w:ascii="Times New Roman" w:hAnsi="Times New Roman" w:cs="Times New Roman"/>
        </w:rPr>
        <w:t>离心</w:t>
      </w:r>
      <w:r w:rsidR="00E47C3D" w:rsidRPr="0077000E">
        <w:rPr>
          <w:rFonts w:ascii="Times New Roman" w:hAnsi="Times New Roman" w:cs="Times New Roman"/>
        </w:rPr>
        <w:t>5</w:t>
      </w:r>
      <w:r w:rsidRPr="0077000E">
        <w:rPr>
          <w:rFonts w:ascii="Times New Roman" w:hAnsi="Times New Roman" w:cs="Times New Roman"/>
        </w:rPr>
        <w:t>min</w:t>
      </w:r>
      <w:r w:rsidRPr="0077000E">
        <w:rPr>
          <w:rFonts w:ascii="Times New Roman" w:hAnsi="Times New Roman" w:cs="Times New Roman"/>
        </w:rPr>
        <w:t>取上清液，或经微孔滤膜过滤</w:t>
      </w:r>
      <w:proofErr w:type="gramStart"/>
      <w:r w:rsidRPr="0077000E">
        <w:rPr>
          <w:rFonts w:ascii="Times New Roman" w:hAnsi="Times New Roman" w:cs="Times New Roman"/>
        </w:rPr>
        <w:t>后取续滤液</w:t>
      </w:r>
      <w:proofErr w:type="gramEnd"/>
      <w:r w:rsidRPr="0077000E">
        <w:rPr>
          <w:rFonts w:ascii="Times New Roman" w:hAnsi="Times New Roman" w:cs="Times New Roman"/>
        </w:rPr>
        <w:t>）于检测管中，向检测管中滴加对氨基苯磺酸溶液</w:t>
      </w:r>
      <w:r w:rsidR="00E47C3D" w:rsidRPr="0077000E">
        <w:rPr>
          <w:rFonts w:ascii="Times New Roman" w:hAnsi="Times New Roman" w:cs="Times New Roman"/>
        </w:rPr>
        <w:t>200</w:t>
      </w:r>
      <w:r w:rsidRPr="0077000E">
        <w:rPr>
          <w:rFonts w:ascii="Times New Roman" w:hAnsi="Times New Roman" w:cs="Times New Roman"/>
        </w:rPr>
        <w:t>μL</w:t>
      </w:r>
      <w:r w:rsidRPr="0077000E">
        <w:rPr>
          <w:rFonts w:ascii="Times New Roman" w:hAnsi="Times New Roman" w:cs="Times New Roman"/>
        </w:rPr>
        <w:t>，混匀静置</w:t>
      </w:r>
      <w:r w:rsidRPr="0077000E">
        <w:rPr>
          <w:rFonts w:ascii="Times New Roman" w:hAnsi="Times New Roman" w:cs="Times New Roman"/>
        </w:rPr>
        <w:t>1min</w:t>
      </w:r>
      <w:r w:rsidRPr="0077000E">
        <w:rPr>
          <w:rFonts w:ascii="Times New Roman" w:hAnsi="Times New Roman" w:cs="Times New Roman"/>
        </w:rPr>
        <w:t>，再加入盐酸</w:t>
      </w:r>
      <w:proofErr w:type="gramStart"/>
      <w:r w:rsidRPr="0077000E">
        <w:rPr>
          <w:rFonts w:ascii="Times New Roman" w:hAnsi="Times New Roman" w:cs="Times New Roman"/>
        </w:rPr>
        <w:t>萘</w:t>
      </w:r>
      <w:proofErr w:type="gramEnd"/>
      <w:r w:rsidRPr="0077000E">
        <w:rPr>
          <w:rFonts w:ascii="Times New Roman" w:hAnsi="Times New Roman" w:cs="Times New Roman"/>
        </w:rPr>
        <w:t>乙二胺溶液</w:t>
      </w:r>
      <w:r w:rsidRPr="0077000E">
        <w:rPr>
          <w:rFonts w:ascii="Times New Roman" w:hAnsi="Times New Roman" w:cs="Times New Roman"/>
        </w:rPr>
        <w:t>100μL</w:t>
      </w:r>
      <w:r w:rsidRPr="0077000E">
        <w:rPr>
          <w:rFonts w:ascii="Times New Roman" w:hAnsi="Times New Roman" w:cs="Times New Roman"/>
        </w:rPr>
        <w:t>，混匀静置</w:t>
      </w:r>
      <w:r w:rsidRPr="0077000E">
        <w:rPr>
          <w:rFonts w:ascii="Times New Roman" w:hAnsi="Times New Roman" w:cs="Times New Roman"/>
        </w:rPr>
        <w:t>5min</w:t>
      </w:r>
      <w:r w:rsidRPr="0077000E">
        <w:rPr>
          <w:rFonts w:ascii="Times New Roman" w:hAnsi="Times New Roman" w:cs="Times New Roman"/>
        </w:rPr>
        <w:t>，即得待测液。</w:t>
      </w:r>
    </w:p>
    <w:p w:rsidR="003F76A6" w:rsidRDefault="00743D16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测定步骤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将待测液</w:t>
      </w:r>
      <w:r w:rsidRPr="0077000E">
        <w:rPr>
          <w:rFonts w:ascii="Times New Roman" w:hAnsi="Times New Roman" w:cs="Times New Roman"/>
        </w:rPr>
        <w:t>与标准色阶卡目视比色</w:t>
      </w:r>
      <w:r w:rsidRPr="0077000E">
        <w:rPr>
          <w:rFonts w:ascii="Times New Roman" w:hAnsi="Times New Roman" w:cs="Times New Roman" w:hint="eastAsia"/>
        </w:rPr>
        <w:t>，</w:t>
      </w:r>
      <w:r w:rsidRPr="0077000E">
        <w:rPr>
          <w:rFonts w:ascii="Times New Roman" w:hAnsi="Times New Roman" w:cs="Times New Roman"/>
        </w:rPr>
        <w:t>10min</w:t>
      </w:r>
      <w:r w:rsidRPr="0077000E">
        <w:rPr>
          <w:rFonts w:ascii="Times New Roman" w:hAnsi="Times New Roman" w:cs="Times New Roman" w:hint="eastAsia"/>
        </w:rPr>
        <w:t>内判读结果。</w:t>
      </w:r>
      <w:r w:rsidRPr="0077000E">
        <w:rPr>
          <w:rFonts w:ascii="Times New Roman" w:hAnsi="Times New Roman" w:cs="Times New Roman"/>
        </w:rPr>
        <w:t>进行平行试验，两次测定结果应一致，即显色结果无肉眼可辨识差异。</w:t>
      </w:r>
    </w:p>
    <w:p w:rsidR="003F76A6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质控试验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每批样品应同时进行空白试验和</w:t>
      </w:r>
      <w:proofErr w:type="gramStart"/>
      <w:r w:rsidRPr="0077000E">
        <w:rPr>
          <w:rFonts w:ascii="Times New Roman" w:hAnsi="Times New Roman" w:cs="Times New Roman" w:hint="eastAsia"/>
        </w:rPr>
        <w:t>质控</w:t>
      </w:r>
      <w:proofErr w:type="gramEnd"/>
      <w:r w:rsidRPr="0077000E">
        <w:rPr>
          <w:rFonts w:ascii="Times New Roman" w:hAnsi="Times New Roman" w:cs="Times New Roman" w:hint="eastAsia"/>
        </w:rPr>
        <w:t>样品试验（或</w:t>
      </w:r>
      <w:proofErr w:type="gramStart"/>
      <w:r w:rsidRPr="0077000E">
        <w:rPr>
          <w:rFonts w:ascii="Times New Roman" w:hAnsi="Times New Roman" w:cs="Times New Roman" w:hint="eastAsia"/>
        </w:rPr>
        <w:t>加标质控</w:t>
      </w:r>
      <w:proofErr w:type="gramEnd"/>
      <w:r w:rsidRPr="0077000E">
        <w:rPr>
          <w:rFonts w:ascii="Times New Roman" w:hAnsi="Times New Roman" w:cs="Times New Roman" w:hint="eastAsia"/>
        </w:rPr>
        <w:t>试验）</w:t>
      </w:r>
      <w:r w:rsidRPr="0077000E">
        <w:rPr>
          <w:rFonts w:ascii="Times New Roman" w:hAnsi="Times New Roman" w:cs="Times New Roman"/>
        </w:rPr>
        <w:t>。用色阶卡和</w:t>
      </w:r>
      <w:proofErr w:type="gramStart"/>
      <w:r w:rsidRPr="0077000E">
        <w:rPr>
          <w:rFonts w:ascii="Times New Roman" w:hAnsi="Times New Roman" w:cs="Times New Roman" w:hint="eastAsia"/>
        </w:rPr>
        <w:t>质控</w:t>
      </w:r>
      <w:proofErr w:type="gramEnd"/>
      <w:r w:rsidRPr="0077000E">
        <w:rPr>
          <w:rFonts w:ascii="Times New Roman" w:hAnsi="Times New Roman" w:cs="Times New Roman" w:hint="eastAsia"/>
        </w:rPr>
        <w:t>试验</w:t>
      </w:r>
      <w:r w:rsidRPr="0077000E">
        <w:rPr>
          <w:rFonts w:ascii="Times New Roman" w:hAnsi="Times New Roman" w:cs="Times New Roman"/>
        </w:rPr>
        <w:t>同时对检测结果进行控制。</w:t>
      </w:r>
    </w:p>
    <w:p w:rsidR="003F76A6" w:rsidRDefault="003063FE" w:rsidP="002B6163">
      <w:pPr>
        <w:pStyle w:val="ae"/>
        <w:widowControl w:val="0"/>
        <w:numPr>
          <w:ilvl w:val="2"/>
          <w:numId w:val="1"/>
        </w:numPr>
        <w:spacing w:beforeLines="0" w:afterLines="0" w:line="380" w:lineRule="exact"/>
        <w:ind w:left="283" w:hangingChars="135" w:hanging="283"/>
        <w:rPr>
          <w:rFonts w:ascii="Times New Roman" w:eastAsia="宋体"/>
          <w:szCs w:val="20"/>
        </w:rPr>
      </w:pPr>
      <w:r>
        <w:rPr>
          <w:rFonts w:ascii="Times New Roman" w:eastAsia="宋体"/>
          <w:szCs w:val="20"/>
        </w:rPr>
        <w:t>空白试验</w:t>
      </w:r>
    </w:p>
    <w:p w:rsidR="003F76A6" w:rsidRPr="0077000E" w:rsidRDefault="003063FE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称取空白样品，按照</w:t>
      </w:r>
      <w:r w:rsidRPr="0077000E">
        <w:rPr>
          <w:rFonts w:ascii="Times New Roman" w:hAnsi="Times New Roman" w:cs="Times New Roman"/>
        </w:rPr>
        <w:t>5.2</w:t>
      </w:r>
      <w:r w:rsidR="00743D16" w:rsidRPr="0077000E">
        <w:rPr>
          <w:rFonts w:ascii="Times New Roman" w:hAnsi="Times New Roman" w:cs="Times New Roman" w:hint="eastAsia"/>
        </w:rPr>
        <w:t>和</w:t>
      </w:r>
      <w:r w:rsidR="00743D16" w:rsidRPr="0077000E">
        <w:rPr>
          <w:rFonts w:ascii="Times New Roman" w:hAnsi="Times New Roman" w:cs="Times New Roman" w:hint="eastAsia"/>
        </w:rPr>
        <w:t>5.3</w:t>
      </w:r>
      <w:r w:rsidRPr="0077000E">
        <w:rPr>
          <w:rFonts w:ascii="Times New Roman" w:hAnsi="Times New Roman" w:cs="Times New Roman"/>
        </w:rPr>
        <w:t>步骤与样品同法操作。</w:t>
      </w:r>
    </w:p>
    <w:p w:rsidR="003F76A6" w:rsidRPr="00743D16" w:rsidRDefault="003063FE" w:rsidP="002B6163">
      <w:pPr>
        <w:pStyle w:val="ae"/>
        <w:widowControl w:val="0"/>
        <w:numPr>
          <w:ilvl w:val="2"/>
          <w:numId w:val="1"/>
        </w:numPr>
        <w:spacing w:beforeLines="0" w:afterLines="0" w:line="380" w:lineRule="exact"/>
        <w:ind w:left="283" w:hangingChars="135" w:hanging="283"/>
        <w:rPr>
          <w:rFonts w:ascii="Times New Roman" w:eastAsia="宋体"/>
          <w:szCs w:val="20"/>
        </w:rPr>
      </w:pPr>
      <w:r w:rsidRPr="00743D16">
        <w:rPr>
          <w:rFonts w:ascii="Times New Roman" w:eastAsia="宋体"/>
          <w:szCs w:val="20"/>
        </w:rPr>
        <w:t>质控样品试验</w:t>
      </w:r>
      <w:r w:rsidR="00743D16" w:rsidRPr="00743D16">
        <w:rPr>
          <w:rFonts w:ascii="Times New Roman" w:eastAsia="宋体" w:hint="eastAsia"/>
          <w:szCs w:val="20"/>
        </w:rPr>
        <w:t>（或</w:t>
      </w:r>
      <w:proofErr w:type="gramStart"/>
      <w:r w:rsidR="00743D16" w:rsidRPr="00743D16">
        <w:rPr>
          <w:rFonts w:ascii="Times New Roman" w:eastAsia="宋体" w:hint="eastAsia"/>
          <w:szCs w:val="20"/>
        </w:rPr>
        <w:t>加标质控</w:t>
      </w:r>
      <w:proofErr w:type="gramEnd"/>
      <w:r w:rsidR="00743D16" w:rsidRPr="00743D16">
        <w:rPr>
          <w:rFonts w:ascii="Times New Roman" w:eastAsia="宋体" w:hint="eastAsia"/>
          <w:szCs w:val="20"/>
        </w:rPr>
        <w:t>试验）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亚硝酸盐质控样品：采用典型样品基质或相似样品基质按照实际生产工艺生产的，含有一定量亚硝酸盐，并可稳定保存的样品。经参比方法确认的质控样品中亚硝酸盐含量（以亚硝酸钠计）应包括但不限于</w:t>
      </w:r>
      <w:r w:rsidRPr="0077000E">
        <w:rPr>
          <w:rFonts w:ascii="Times New Roman" w:hAnsi="Times New Roman" w:cs="Times New Roman" w:hint="eastAsia"/>
        </w:rPr>
        <w:t>10mg/kg</w:t>
      </w:r>
      <w:r w:rsidRPr="0077000E">
        <w:rPr>
          <w:rFonts w:ascii="Times New Roman" w:hAnsi="Times New Roman" w:cs="Times New Roman" w:hint="eastAsia"/>
        </w:rPr>
        <w:t>。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proofErr w:type="gramStart"/>
      <w:r w:rsidRPr="0077000E">
        <w:rPr>
          <w:rFonts w:ascii="Times New Roman" w:hAnsi="Times New Roman" w:cs="Times New Roman" w:hint="eastAsia"/>
        </w:rPr>
        <w:t>加标质控</w:t>
      </w:r>
      <w:proofErr w:type="gramEnd"/>
      <w:r w:rsidRPr="0077000E">
        <w:rPr>
          <w:rFonts w:ascii="Times New Roman" w:hAnsi="Times New Roman" w:cs="Times New Roman" w:hint="eastAsia"/>
        </w:rPr>
        <w:t>样品：准确称取空白试样</w:t>
      </w:r>
      <w:r w:rsidRPr="0077000E">
        <w:rPr>
          <w:rFonts w:ascii="Times New Roman" w:hAnsi="Times New Roman" w:cs="Times New Roman" w:hint="eastAsia"/>
        </w:rPr>
        <w:t>1g</w:t>
      </w:r>
      <w:r w:rsidRPr="0077000E">
        <w:rPr>
          <w:rFonts w:ascii="Times New Roman" w:hAnsi="Times New Roman" w:cs="Times New Roman" w:hint="eastAsia"/>
        </w:rPr>
        <w:t>（精确至</w:t>
      </w:r>
      <w:r w:rsidRPr="0077000E">
        <w:rPr>
          <w:rFonts w:ascii="Times New Roman" w:hAnsi="Times New Roman" w:cs="Times New Roman" w:hint="eastAsia"/>
        </w:rPr>
        <w:t>0.01g</w:t>
      </w:r>
      <w:r w:rsidRPr="0077000E">
        <w:rPr>
          <w:rFonts w:ascii="Times New Roman" w:hAnsi="Times New Roman" w:cs="Times New Roman" w:hint="eastAsia"/>
        </w:rPr>
        <w:t>），置于离心管中，加入适量亚硝酸</w:t>
      </w:r>
      <w:proofErr w:type="gramStart"/>
      <w:r w:rsidRPr="0077000E">
        <w:rPr>
          <w:rFonts w:ascii="Times New Roman" w:hAnsi="Times New Roman" w:cs="Times New Roman" w:hint="eastAsia"/>
        </w:rPr>
        <w:t>钠标准</w:t>
      </w:r>
      <w:proofErr w:type="gramEnd"/>
      <w:r w:rsidRPr="0077000E">
        <w:rPr>
          <w:rFonts w:ascii="Times New Roman" w:hAnsi="Times New Roman" w:cs="Times New Roman" w:hint="eastAsia"/>
        </w:rPr>
        <w:t>工作液（</w:t>
      </w:r>
      <w:r w:rsidRPr="0077000E">
        <w:rPr>
          <w:rFonts w:ascii="Times New Roman" w:hAnsi="Times New Roman" w:cs="Times New Roman" w:hint="eastAsia"/>
        </w:rPr>
        <w:t>200µg/mL</w:t>
      </w:r>
      <w:r w:rsidRPr="0077000E">
        <w:rPr>
          <w:rFonts w:ascii="Times New Roman" w:hAnsi="Times New Roman" w:cs="Times New Roman" w:hint="eastAsia"/>
        </w:rPr>
        <w:t>）（</w:t>
      </w:r>
      <w:r w:rsidRPr="0077000E">
        <w:rPr>
          <w:rFonts w:ascii="Times New Roman" w:hAnsi="Times New Roman" w:cs="Times New Roman" w:hint="eastAsia"/>
        </w:rPr>
        <w:t>3.3</w:t>
      </w:r>
      <w:r w:rsidRPr="0077000E">
        <w:rPr>
          <w:rFonts w:ascii="Times New Roman" w:hAnsi="Times New Roman" w:cs="Times New Roman" w:hint="eastAsia"/>
        </w:rPr>
        <w:t>）使样品中亚硝酸钠含量为</w:t>
      </w:r>
      <w:r w:rsidRPr="0077000E">
        <w:rPr>
          <w:rFonts w:ascii="Times New Roman" w:hAnsi="Times New Roman" w:cs="Times New Roman" w:hint="eastAsia"/>
        </w:rPr>
        <w:t>10mg/kg</w:t>
      </w:r>
      <w:r w:rsidRPr="0077000E">
        <w:rPr>
          <w:rFonts w:ascii="Times New Roman" w:hAnsi="Times New Roman" w:cs="Times New Roman" w:hint="eastAsia"/>
        </w:rPr>
        <w:t>。</w:t>
      </w:r>
    </w:p>
    <w:p w:rsidR="003F76A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质控样品（或</w:t>
      </w:r>
      <w:proofErr w:type="gramStart"/>
      <w:r w:rsidRPr="0077000E">
        <w:rPr>
          <w:rFonts w:ascii="Times New Roman" w:hAnsi="Times New Roman" w:cs="Times New Roman" w:hint="eastAsia"/>
        </w:rPr>
        <w:t>加标质控</w:t>
      </w:r>
      <w:proofErr w:type="gramEnd"/>
      <w:r w:rsidRPr="0077000E">
        <w:rPr>
          <w:rFonts w:ascii="Times New Roman" w:hAnsi="Times New Roman" w:cs="Times New Roman" w:hint="eastAsia"/>
        </w:rPr>
        <w:t>样品）按</w:t>
      </w:r>
      <w:r w:rsidRPr="0077000E">
        <w:rPr>
          <w:rFonts w:ascii="Times New Roman" w:hAnsi="Times New Roman" w:cs="Times New Roman" w:hint="eastAsia"/>
        </w:rPr>
        <w:t>5.2</w:t>
      </w:r>
      <w:r w:rsidRPr="0077000E">
        <w:rPr>
          <w:rFonts w:ascii="Times New Roman" w:hAnsi="Times New Roman" w:cs="Times New Roman" w:hint="eastAsia"/>
        </w:rPr>
        <w:t>和</w:t>
      </w:r>
      <w:r w:rsidRPr="0077000E">
        <w:rPr>
          <w:rFonts w:ascii="Times New Roman" w:hAnsi="Times New Roman" w:cs="Times New Roman" w:hint="eastAsia"/>
        </w:rPr>
        <w:t>5.3</w:t>
      </w:r>
      <w:r w:rsidRPr="0077000E">
        <w:rPr>
          <w:rFonts w:ascii="Times New Roman" w:hAnsi="Times New Roman" w:cs="Times New Roman" w:hint="eastAsia"/>
        </w:rPr>
        <w:t>步骤与样品同法操作。</w:t>
      </w:r>
    </w:p>
    <w:p w:rsidR="003F76A6" w:rsidRPr="0077000E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 w:rsidRPr="0077000E">
        <w:rPr>
          <w:rFonts w:ascii="Times New Roman"/>
        </w:rPr>
        <w:t>结果判定</w:t>
      </w:r>
      <w:r w:rsidR="00743D16" w:rsidRPr="0077000E">
        <w:rPr>
          <w:rFonts w:ascii="Times New Roman" w:hint="eastAsia"/>
        </w:rPr>
        <w:t>要求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观察检测管中样液颜色，与标准色阶</w:t>
      </w:r>
      <w:proofErr w:type="gramStart"/>
      <w:r w:rsidRPr="0077000E">
        <w:rPr>
          <w:rFonts w:ascii="Times New Roman" w:hAnsi="Times New Roman" w:cs="Times New Roman"/>
        </w:rPr>
        <w:t>卡比较</w:t>
      </w:r>
      <w:proofErr w:type="gramEnd"/>
      <w:r w:rsidRPr="0077000E">
        <w:rPr>
          <w:rFonts w:ascii="Times New Roman" w:hAnsi="Times New Roman" w:cs="Times New Roman" w:hint="eastAsia"/>
        </w:rPr>
        <w:t>判读</w:t>
      </w:r>
      <w:r w:rsidRPr="0077000E">
        <w:rPr>
          <w:rFonts w:ascii="Times New Roman" w:hAnsi="Times New Roman" w:cs="Times New Roman"/>
        </w:rPr>
        <w:t>样品中亚硝酸盐</w:t>
      </w:r>
      <w:r w:rsidRPr="0077000E">
        <w:rPr>
          <w:rFonts w:ascii="Times New Roman" w:hAnsi="Times New Roman" w:cs="Times New Roman" w:hint="eastAsia"/>
        </w:rPr>
        <w:t>（以亚硝酸钠计）</w:t>
      </w:r>
      <w:r w:rsidRPr="0077000E">
        <w:rPr>
          <w:rFonts w:ascii="Times New Roman" w:hAnsi="Times New Roman" w:cs="Times New Roman"/>
        </w:rPr>
        <w:t>的含量。</w:t>
      </w:r>
      <w:r w:rsidRPr="0077000E">
        <w:rPr>
          <w:rFonts w:ascii="Times New Roman" w:hAnsi="Times New Roman" w:cs="Times New Roman" w:hint="eastAsia"/>
        </w:rPr>
        <w:t>颜色浅于检出限（</w:t>
      </w:r>
      <w:r w:rsidRPr="0077000E">
        <w:rPr>
          <w:rFonts w:ascii="Times New Roman" w:hAnsi="Times New Roman" w:cs="Times New Roman" w:hint="eastAsia"/>
        </w:rPr>
        <w:t>1mg/kg</w:t>
      </w:r>
      <w:r w:rsidRPr="0077000E">
        <w:rPr>
          <w:rFonts w:ascii="Times New Roman" w:hAnsi="Times New Roman" w:cs="Times New Roman" w:hint="eastAsia"/>
        </w:rPr>
        <w:t>）则为阴性样品；</w:t>
      </w:r>
      <w:r w:rsidRPr="0077000E">
        <w:rPr>
          <w:rFonts w:ascii="Times New Roman" w:hAnsi="Times New Roman" w:cs="Times New Roman"/>
        </w:rPr>
        <w:t>颜色</w:t>
      </w:r>
      <w:r w:rsidRPr="0077000E">
        <w:rPr>
          <w:rFonts w:ascii="Times New Roman" w:hAnsi="Times New Roman" w:cs="Times New Roman" w:hint="eastAsia"/>
        </w:rPr>
        <w:t>深</w:t>
      </w:r>
      <w:r w:rsidRPr="0077000E">
        <w:rPr>
          <w:rFonts w:ascii="Times New Roman" w:hAnsi="Times New Roman" w:cs="Times New Roman"/>
        </w:rPr>
        <w:t>于</w:t>
      </w:r>
      <w:r w:rsidRPr="0077000E">
        <w:rPr>
          <w:rFonts w:ascii="Times New Roman" w:hAnsi="Times New Roman" w:cs="Times New Roman"/>
        </w:rPr>
        <w:t>10mg/kg</w:t>
      </w:r>
      <w:r w:rsidRPr="0077000E">
        <w:rPr>
          <w:rFonts w:ascii="Times New Roman" w:hAnsi="Times New Roman" w:cs="Times New Roman" w:hint="eastAsia"/>
        </w:rPr>
        <w:t>则为阳性样品。</w:t>
      </w:r>
      <w:r w:rsidRPr="0077000E">
        <w:rPr>
          <w:rFonts w:ascii="Times New Roman" w:hAnsi="Times New Roman" w:cs="Times New Roman"/>
        </w:rPr>
        <w:t>色阶卡见图</w:t>
      </w:r>
      <w:r w:rsidRPr="0077000E">
        <w:rPr>
          <w:rFonts w:ascii="Times New Roman" w:hAnsi="Times New Roman" w:cs="Times New Roman"/>
        </w:rPr>
        <w:t>1</w:t>
      </w:r>
      <w:r w:rsidRPr="0077000E">
        <w:rPr>
          <w:rFonts w:ascii="Times New Roman" w:hAnsi="Times New Roman" w:cs="Times New Roman"/>
        </w:rPr>
        <w:t>。</w:t>
      </w:r>
    </w:p>
    <w:p w:rsidR="0077000E" w:rsidRDefault="00743D16" w:rsidP="00743D16">
      <w:pPr>
        <w:pStyle w:val="af9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leftChars="200" w:left="1050" w:hangingChars="300" w:hanging="630"/>
        <w:rPr>
          <w:rFonts w:hint="eastAsia"/>
          <w:kern w:val="0"/>
          <w:szCs w:val="20"/>
        </w:rPr>
      </w:pPr>
      <w:r w:rsidRPr="00743D16">
        <w:rPr>
          <w:rFonts w:hint="eastAsia"/>
          <w:kern w:val="0"/>
          <w:szCs w:val="20"/>
        </w:rPr>
        <w:t>注：</w:t>
      </w:r>
      <w:r w:rsidRPr="00743D16">
        <w:rPr>
          <w:rFonts w:hint="eastAsia"/>
          <w:kern w:val="0"/>
          <w:szCs w:val="20"/>
        </w:rPr>
        <w:t>1.</w:t>
      </w:r>
      <w:r w:rsidRPr="00743D16">
        <w:rPr>
          <w:kern w:val="0"/>
          <w:szCs w:val="20"/>
        </w:rPr>
        <w:t>颜色</w:t>
      </w:r>
      <w:r w:rsidRPr="00743D16">
        <w:rPr>
          <w:rFonts w:hint="eastAsia"/>
          <w:kern w:val="0"/>
          <w:szCs w:val="20"/>
        </w:rPr>
        <w:t>接近或深于</w:t>
      </w:r>
      <w:r w:rsidRPr="00743D16">
        <w:rPr>
          <w:rFonts w:hint="eastAsia"/>
          <w:kern w:val="0"/>
          <w:szCs w:val="20"/>
        </w:rPr>
        <w:t>1mg/kg</w:t>
      </w:r>
      <w:r w:rsidRPr="00743D16">
        <w:rPr>
          <w:rFonts w:hint="eastAsia"/>
          <w:kern w:val="0"/>
          <w:szCs w:val="20"/>
        </w:rPr>
        <w:t>，但</w:t>
      </w:r>
      <w:r w:rsidRPr="00743D16">
        <w:rPr>
          <w:kern w:val="0"/>
          <w:szCs w:val="20"/>
        </w:rPr>
        <w:t>浅于</w:t>
      </w:r>
      <w:r w:rsidRPr="00743D16">
        <w:rPr>
          <w:rFonts w:hint="eastAsia"/>
          <w:kern w:val="0"/>
          <w:szCs w:val="20"/>
        </w:rPr>
        <w:t>或接近</w:t>
      </w:r>
      <w:r w:rsidRPr="00743D16">
        <w:rPr>
          <w:kern w:val="0"/>
          <w:szCs w:val="20"/>
        </w:rPr>
        <w:t>1</w:t>
      </w:r>
      <w:r w:rsidRPr="00743D16">
        <w:rPr>
          <w:rFonts w:hint="eastAsia"/>
          <w:kern w:val="0"/>
          <w:szCs w:val="20"/>
        </w:rPr>
        <w:t>0</w:t>
      </w:r>
      <w:r w:rsidRPr="00743D16">
        <w:rPr>
          <w:kern w:val="0"/>
          <w:szCs w:val="20"/>
        </w:rPr>
        <w:t>mg/kg</w:t>
      </w:r>
      <w:r w:rsidR="0077000E">
        <w:rPr>
          <w:rFonts w:hint="eastAsia"/>
          <w:kern w:val="0"/>
          <w:szCs w:val="20"/>
        </w:rPr>
        <w:t>时，则考虑本底污染或带入所</w:t>
      </w:r>
    </w:p>
    <w:p w:rsidR="003F76A6" w:rsidRDefault="00743D16" w:rsidP="0077000E">
      <w:pPr>
        <w:pStyle w:val="af9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leftChars="400" w:left="1050" w:hangingChars="100" w:hanging="210"/>
        <w:rPr>
          <w:kern w:val="0"/>
          <w:szCs w:val="20"/>
        </w:rPr>
      </w:pPr>
      <w:r w:rsidRPr="00743D16">
        <w:rPr>
          <w:rFonts w:hint="eastAsia"/>
          <w:kern w:val="0"/>
          <w:szCs w:val="20"/>
        </w:rPr>
        <w:t>2.</w:t>
      </w:r>
      <w:r w:rsidRPr="00743D16">
        <w:rPr>
          <w:kern w:val="0"/>
          <w:szCs w:val="20"/>
        </w:rPr>
        <w:t>1</w:t>
      </w:r>
      <w:r w:rsidRPr="00743D16">
        <w:rPr>
          <w:rFonts w:hint="eastAsia"/>
          <w:kern w:val="0"/>
          <w:szCs w:val="20"/>
        </w:rPr>
        <w:t>0</w:t>
      </w:r>
      <w:r w:rsidRPr="00743D16">
        <w:rPr>
          <w:kern w:val="0"/>
          <w:szCs w:val="20"/>
        </w:rPr>
        <w:t>mg/kg</w:t>
      </w:r>
      <w:r>
        <w:rPr>
          <w:rFonts w:hint="eastAsia"/>
          <w:kern w:val="0"/>
          <w:szCs w:val="20"/>
        </w:rPr>
        <w:t>仅作为本方法的本底控制限。</w:t>
      </w:r>
    </w:p>
    <w:p w:rsidR="00743D16" w:rsidRPr="00743D16" w:rsidRDefault="00743D16" w:rsidP="00743D16">
      <w:pPr>
        <w:pStyle w:val="af9"/>
        <w:tabs>
          <w:tab w:val="center" w:pos="4201"/>
          <w:tab w:val="right" w:leader="dot" w:pos="9298"/>
        </w:tabs>
        <w:autoSpaceDE w:val="0"/>
        <w:autoSpaceDN w:val="0"/>
        <w:spacing w:line="400" w:lineRule="exact"/>
        <w:ind w:firstLineChars="0" w:firstLine="0"/>
        <w:rPr>
          <w:kern w:val="0"/>
          <w:szCs w:val="20"/>
        </w:rPr>
      </w:pPr>
    </w:p>
    <w:p w:rsidR="003F76A6" w:rsidRDefault="003F76A6">
      <w:pPr>
        <w:pStyle w:val="aa"/>
        <w:ind w:firstLineChars="0" w:firstLine="0"/>
        <w:jc w:val="center"/>
        <w:rPr>
          <w:rFonts w:ascii="Times New Roman"/>
        </w:rPr>
      </w:pPr>
    </w:p>
    <w:p w:rsidR="003F76A6" w:rsidRDefault="00E47C3D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FFF31" wp14:editId="498DD9F6">
            <wp:simplePos x="0" y="0"/>
            <wp:positionH relativeFrom="column">
              <wp:posOffset>1033145</wp:posOffset>
            </wp:positionH>
            <wp:positionV relativeFrom="paragraph">
              <wp:posOffset>-95885</wp:posOffset>
            </wp:positionV>
            <wp:extent cx="3648075" cy="1231265"/>
            <wp:effectExtent l="0" t="0" r="9525" b="6985"/>
            <wp:wrapTight wrapText="bothSides">
              <wp:wrapPolygon edited="0">
                <wp:start x="0" y="0"/>
                <wp:lineTo x="0" y="21388"/>
                <wp:lineTo x="21544" y="21388"/>
                <wp:lineTo x="21544" y="0"/>
                <wp:lineTo x="0" y="0"/>
              </wp:wrapPolygon>
            </wp:wrapTight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163" w:rsidRDefault="002B616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</w:p>
    <w:p w:rsidR="002B6163" w:rsidRDefault="002B616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</w:p>
    <w:p w:rsidR="002B6163" w:rsidRDefault="002B616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</w:p>
    <w:p w:rsidR="002B6163" w:rsidRDefault="002B6163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</w:p>
    <w:p w:rsidR="003F76A6" w:rsidRDefault="003063FE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288" w:lineRule="auto"/>
        <w:ind w:firstLineChars="200" w:firstLine="420"/>
        <w:jc w:val="center"/>
        <w:rPr>
          <w:kern w:val="0"/>
          <w:szCs w:val="20"/>
        </w:rPr>
      </w:pPr>
      <w:r>
        <w:rPr>
          <w:kern w:val="0"/>
          <w:szCs w:val="20"/>
        </w:rPr>
        <w:t>图</w:t>
      </w:r>
      <w:r>
        <w:rPr>
          <w:kern w:val="0"/>
          <w:szCs w:val="20"/>
        </w:rPr>
        <w:t>1</w:t>
      </w:r>
      <w:r w:rsidR="0068760D"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>亚硝酸盐色阶卡</w:t>
      </w:r>
    </w:p>
    <w:p w:rsidR="003F76A6" w:rsidRPr="0077000E" w:rsidRDefault="003063FE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质</w:t>
      </w:r>
      <w:proofErr w:type="gramStart"/>
      <w:r w:rsidRPr="0077000E">
        <w:rPr>
          <w:rFonts w:ascii="Times New Roman" w:hAnsi="Times New Roman" w:cs="Times New Roman"/>
        </w:rPr>
        <w:t>控试验</w:t>
      </w:r>
      <w:proofErr w:type="gramEnd"/>
      <w:r w:rsidRPr="0077000E">
        <w:rPr>
          <w:rFonts w:ascii="Times New Roman" w:hAnsi="Times New Roman" w:cs="Times New Roman"/>
        </w:rPr>
        <w:t>要求</w:t>
      </w:r>
      <w:r w:rsidR="0077000E" w:rsidRPr="0077000E">
        <w:rPr>
          <w:rFonts w:ascii="Times New Roman" w:hAnsi="Times New Roman" w:cs="Times New Roman" w:hint="eastAsia"/>
        </w:rPr>
        <w:t>：</w:t>
      </w:r>
      <w:r w:rsidR="00743D16" w:rsidRPr="0077000E">
        <w:rPr>
          <w:rFonts w:ascii="Times New Roman" w:hAnsi="Times New Roman" w:cs="Times New Roman"/>
        </w:rPr>
        <w:t>空白试验测定结果应为阴性，质控</w:t>
      </w:r>
      <w:r w:rsidR="00743D16" w:rsidRPr="0077000E">
        <w:rPr>
          <w:rFonts w:ascii="Times New Roman" w:hAnsi="Times New Roman" w:cs="Times New Roman" w:hint="eastAsia"/>
        </w:rPr>
        <w:t>样品</w:t>
      </w:r>
      <w:r w:rsidR="00743D16" w:rsidRPr="0077000E">
        <w:rPr>
          <w:rFonts w:ascii="Times New Roman" w:hAnsi="Times New Roman" w:cs="Times New Roman"/>
        </w:rPr>
        <w:t>试验测定结果应在其标示量值</w:t>
      </w:r>
      <w:r w:rsidR="00743D16" w:rsidRPr="0077000E">
        <w:rPr>
          <w:rFonts w:ascii="Times New Roman" w:hAnsi="Times New Roman" w:cs="Times New Roman" w:hint="eastAsia"/>
        </w:rPr>
        <w:t>允差范围内，加</w:t>
      </w:r>
      <w:proofErr w:type="gramStart"/>
      <w:r w:rsidR="00743D16" w:rsidRPr="0077000E">
        <w:rPr>
          <w:rFonts w:ascii="Times New Roman" w:hAnsi="Times New Roman" w:cs="Times New Roman" w:hint="eastAsia"/>
        </w:rPr>
        <w:t>标质控试验</w:t>
      </w:r>
      <w:proofErr w:type="gramEnd"/>
      <w:r w:rsidR="00743D16" w:rsidRPr="0077000E">
        <w:rPr>
          <w:rFonts w:ascii="Times New Roman" w:hAnsi="Times New Roman" w:cs="Times New Roman" w:hint="eastAsia"/>
        </w:rPr>
        <w:t>测定结果应与加标量相符。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结论</w:t>
      </w:r>
    </w:p>
    <w:p w:rsidR="003F76A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/>
        </w:rPr>
        <w:t>由于色阶卡目视判读存在一定误差，为尽量避免出现假阴性结果，读数时遵循就高不就低的原则。</w:t>
      </w:r>
      <w:r w:rsidRPr="0077000E">
        <w:rPr>
          <w:rFonts w:ascii="Times New Roman" w:hAnsi="Times New Roman" w:cs="Times New Roman" w:hint="eastAsia"/>
        </w:rPr>
        <w:t>当</w:t>
      </w:r>
      <w:r w:rsidRPr="0077000E">
        <w:rPr>
          <w:rFonts w:ascii="Times New Roman" w:hAnsi="Times New Roman" w:cs="Times New Roman"/>
        </w:rPr>
        <w:t>测定结果大于</w:t>
      </w:r>
      <w:r w:rsidRPr="0077000E">
        <w:rPr>
          <w:rFonts w:ascii="Times New Roman" w:hAnsi="Times New Roman" w:cs="Times New Roman"/>
        </w:rPr>
        <w:t>1</w:t>
      </w:r>
      <w:r w:rsidRPr="0077000E">
        <w:rPr>
          <w:rFonts w:ascii="Times New Roman" w:hAnsi="Times New Roman" w:cs="Times New Roman" w:hint="eastAsia"/>
        </w:rPr>
        <w:t>0</w:t>
      </w:r>
      <w:r w:rsidRPr="0077000E">
        <w:rPr>
          <w:rFonts w:ascii="Times New Roman" w:hAnsi="Times New Roman" w:cs="Times New Roman"/>
        </w:rPr>
        <w:t>mg/kg</w:t>
      </w:r>
      <w:r w:rsidRPr="0077000E">
        <w:rPr>
          <w:rFonts w:ascii="Times New Roman" w:hAnsi="Times New Roman" w:cs="Times New Roman"/>
        </w:rPr>
        <w:t>时，应对结果进行确证。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性能指标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检测限：</w:t>
      </w:r>
      <w:r w:rsidRPr="0077000E">
        <w:rPr>
          <w:rFonts w:ascii="Times New Roman"/>
        </w:rPr>
        <w:t>1mg/kg</w:t>
      </w:r>
      <w:r w:rsidRPr="0077000E">
        <w:rPr>
          <w:rFonts w:ascii="Times New Roman"/>
        </w:rPr>
        <w:t>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灵敏度：</w:t>
      </w:r>
      <w:r w:rsidRPr="0077000E">
        <w:rPr>
          <w:rFonts w:ascii="Times New Roman"/>
        </w:rPr>
        <w:t>灵敏度应</w:t>
      </w:r>
      <w:r w:rsidRPr="0077000E">
        <w:rPr>
          <w:rFonts w:ascii="Times New Roman"/>
        </w:rPr>
        <w:t>≥99%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特异性：</w:t>
      </w:r>
      <w:r w:rsidRPr="0077000E">
        <w:rPr>
          <w:rFonts w:ascii="Times New Roman"/>
        </w:rPr>
        <w:t>特异性应</w:t>
      </w:r>
      <w:r w:rsidRPr="0077000E">
        <w:rPr>
          <w:rFonts w:ascii="Times New Roman"/>
        </w:rPr>
        <w:t>≥85%</w:t>
      </w:r>
      <w:r w:rsidRPr="0077000E">
        <w:rPr>
          <w:rFonts w:ascii="Times New Roman"/>
        </w:rPr>
        <w:t>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假阴性率：</w:t>
      </w:r>
      <w:r w:rsidRPr="0077000E">
        <w:rPr>
          <w:rFonts w:ascii="Times New Roman"/>
        </w:rPr>
        <w:t>假阴性率应</w:t>
      </w:r>
      <w:r w:rsidRPr="0077000E">
        <w:rPr>
          <w:rFonts w:ascii="Times New Roman"/>
        </w:rPr>
        <w:t>≤1%</w:t>
      </w:r>
      <w:r w:rsidRPr="0077000E">
        <w:rPr>
          <w:rFonts w:ascii="Times New Roman"/>
        </w:rPr>
        <w:t>。</w:t>
      </w:r>
    </w:p>
    <w:p w:rsidR="003F76A6" w:rsidRPr="0077000E" w:rsidRDefault="003063FE" w:rsidP="0077000E">
      <w:pPr>
        <w:pStyle w:val="ad"/>
        <w:widowControl w:val="0"/>
        <w:numPr>
          <w:ilvl w:val="1"/>
          <w:numId w:val="1"/>
        </w:numPr>
        <w:spacing w:before="156" w:after="156"/>
        <w:rPr>
          <w:rFonts w:ascii="Times New Roman"/>
        </w:rPr>
      </w:pPr>
      <w:r>
        <w:rPr>
          <w:rFonts w:ascii="Times New Roman"/>
        </w:rPr>
        <w:t>假阳性率：</w:t>
      </w:r>
      <w:r w:rsidRPr="0077000E">
        <w:rPr>
          <w:rFonts w:ascii="Times New Roman"/>
        </w:rPr>
        <w:t>假阳性率应</w:t>
      </w:r>
      <w:r w:rsidRPr="0077000E">
        <w:rPr>
          <w:rFonts w:ascii="Times New Roman"/>
        </w:rPr>
        <w:t>≤15%</w:t>
      </w:r>
      <w:r w:rsidRPr="0077000E">
        <w:rPr>
          <w:rFonts w:ascii="Times New Roman"/>
        </w:rPr>
        <w:t>。</w:t>
      </w:r>
    </w:p>
    <w:p w:rsidR="003F76A6" w:rsidRDefault="003063FE">
      <w:pPr>
        <w:pStyle w:val="ad"/>
        <w:tabs>
          <w:tab w:val="clear" w:pos="1440"/>
        </w:tabs>
        <w:spacing w:beforeLines="0" w:afterLines="0" w:line="288" w:lineRule="auto"/>
        <w:ind w:left="0" w:firstLine="0"/>
        <w:rPr>
          <w:rFonts w:ascii="Times New Roman" w:eastAsia="宋体"/>
          <w:sz w:val="18"/>
          <w:szCs w:val="18"/>
        </w:rPr>
      </w:pPr>
      <w:r>
        <w:rPr>
          <w:rFonts w:ascii="Times New Roman" w:eastAsia="宋体"/>
          <w:sz w:val="18"/>
          <w:szCs w:val="18"/>
        </w:rPr>
        <w:t>注：性能指标计算方法见附录</w:t>
      </w:r>
      <w:r>
        <w:rPr>
          <w:rFonts w:ascii="Times New Roman" w:eastAsia="宋体"/>
          <w:sz w:val="18"/>
          <w:szCs w:val="18"/>
        </w:rPr>
        <w:t>A</w:t>
      </w:r>
      <w:r>
        <w:rPr>
          <w:rFonts w:ascii="Times New Roman" w:eastAsia="宋体"/>
          <w:sz w:val="18"/>
          <w:szCs w:val="18"/>
        </w:rPr>
        <w:t>。</w:t>
      </w:r>
    </w:p>
    <w:p w:rsidR="003F76A6" w:rsidRDefault="003063FE" w:rsidP="0077000E">
      <w:pPr>
        <w:pStyle w:val="ac"/>
        <w:widowControl w:val="0"/>
        <w:numPr>
          <w:ilvl w:val="0"/>
          <w:numId w:val="1"/>
        </w:numPr>
        <w:spacing w:beforeLines="50" w:before="156" w:afterLines="50" w:after="156"/>
        <w:rPr>
          <w:rFonts w:ascii="Times New Roman"/>
        </w:rPr>
      </w:pPr>
      <w:r>
        <w:rPr>
          <w:rFonts w:ascii="Times New Roman"/>
        </w:rPr>
        <w:t>其他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本方法所述试剂、试剂</w:t>
      </w:r>
      <w:proofErr w:type="gramStart"/>
      <w:r w:rsidRPr="0077000E">
        <w:rPr>
          <w:rFonts w:ascii="Times New Roman" w:hAnsi="Times New Roman" w:cs="Times New Roman" w:hint="eastAsia"/>
        </w:rPr>
        <w:t>盒信息</w:t>
      </w:r>
      <w:proofErr w:type="gramEnd"/>
      <w:r w:rsidRPr="0077000E">
        <w:rPr>
          <w:rFonts w:ascii="Times New Roman" w:hAnsi="Times New Roman" w:cs="Times New Roman" w:hint="eastAsia"/>
        </w:rPr>
        <w:t>及操作步骤是为给方法使用者提供方便，在使用本方法时不作限定。方法使用者在使用替代试剂、试剂盒或操作步骤前，须对其进行考察，应满足本方法规定的各项性能指标。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本方法参比方法为</w:t>
      </w:r>
      <w:r w:rsidRPr="0077000E">
        <w:rPr>
          <w:rFonts w:ascii="Times New Roman" w:hAnsi="Times New Roman" w:cs="Times New Roman" w:hint="eastAsia"/>
        </w:rPr>
        <w:t>GB</w:t>
      </w:r>
      <w:r w:rsidR="0077000E">
        <w:rPr>
          <w:rFonts w:ascii="Times New Roman" w:hAnsi="Times New Roman" w:cs="Times New Roman" w:hint="eastAsia"/>
        </w:rPr>
        <w:t xml:space="preserve"> </w:t>
      </w:r>
      <w:r w:rsidRPr="0077000E">
        <w:rPr>
          <w:rFonts w:ascii="Times New Roman" w:hAnsi="Times New Roman" w:cs="Times New Roman" w:hint="eastAsia"/>
        </w:rPr>
        <w:t>5009.33-2016</w:t>
      </w:r>
      <w:r w:rsidRPr="0077000E">
        <w:rPr>
          <w:rFonts w:ascii="Times New Roman" w:hAnsi="Times New Roman" w:cs="Times New Roman" w:hint="eastAsia"/>
        </w:rPr>
        <w:t>《食品安全国家标准食品中亚硝酸盐与硝酸盐的测定—第二法分光光度法》。</w:t>
      </w:r>
    </w:p>
    <w:p w:rsidR="00743D1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待测样品中若存在高含量的亚硫酸氢钠、抗坏血酸或酱油时，会对本法的显色结果产生一定影响，检测时应予以注意。</w:t>
      </w:r>
    </w:p>
    <w:p w:rsidR="003F76A6" w:rsidRPr="0077000E" w:rsidRDefault="00743D16" w:rsidP="0077000E">
      <w:pPr>
        <w:pStyle w:val="aa"/>
        <w:rPr>
          <w:rFonts w:ascii="Times New Roman" w:hAnsi="Times New Roman" w:cs="Times New Roman"/>
        </w:rPr>
      </w:pPr>
      <w:r w:rsidRPr="0077000E">
        <w:rPr>
          <w:rFonts w:ascii="Times New Roman" w:hAnsi="Times New Roman" w:cs="Times New Roman" w:hint="eastAsia"/>
        </w:rPr>
        <w:t>色阶卡应确保在试剂盒保质期内不出现褪色或变色的情况。</w:t>
      </w:r>
    </w:p>
    <w:p w:rsidR="003F76A6" w:rsidRDefault="003F76A6">
      <w:pPr>
        <w:pStyle w:val="ab"/>
        <w:ind w:left="0" w:firstLine="0"/>
        <w:jc w:val="both"/>
        <w:rPr>
          <w:sz w:val="32"/>
        </w:rPr>
      </w:pPr>
    </w:p>
    <w:p w:rsidR="003F76A6" w:rsidRDefault="003063FE">
      <w:pPr>
        <w:pStyle w:val="af0"/>
        <w:tabs>
          <w:tab w:val="clear" w:pos="720"/>
        </w:tabs>
        <w:spacing w:before="0" w:after="0"/>
        <w:ind w:left="0" w:firstLine="0"/>
        <w:jc w:val="both"/>
        <w:rPr>
          <w:rFonts w:ascii="Times New Roman"/>
          <w:sz w:val="32"/>
        </w:rPr>
      </w:pPr>
      <w:r>
        <w:rPr>
          <w:rFonts w:ascii="Times New Roman"/>
          <w:sz w:val="32"/>
        </w:rPr>
        <w:t>附录</w:t>
      </w:r>
      <w:r>
        <w:rPr>
          <w:rFonts w:ascii="Times New Roman"/>
          <w:sz w:val="32"/>
        </w:rPr>
        <w:t>A</w:t>
      </w:r>
    </w:p>
    <w:p w:rsidR="003F76A6" w:rsidRDefault="003F76A6">
      <w:pPr>
        <w:jc w:val="center"/>
      </w:pPr>
    </w:p>
    <w:p w:rsidR="00743D16" w:rsidRPr="00743D16" w:rsidRDefault="00743D16" w:rsidP="00743D16">
      <w:pPr>
        <w:jc w:val="center"/>
        <w:rPr>
          <w:rFonts w:ascii="方正小标宋简体" w:eastAsia="方正小标宋简体"/>
          <w:sz w:val="44"/>
          <w:szCs w:val="44"/>
        </w:rPr>
      </w:pPr>
      <w:r w:rsidRPr="00743D16">
        <w:rPr>
          <w:rFonts w:ascii="方正小标宋简体" w:eastAsia="方正小标宋简体" w:cs="宋体" w:hint="eastAsia"/>
          <w:sz w:val="44"/>
          <w:szCs w:val="44"/>
        </w:rPr>
        <w:t>快速检测方法性能指标计算表</w:t>
      </w:r>
    </w:p>
    <w:p w:rsidR="00743D16" w:rsidRPr="00E65C8D" w:rsidRDefault="00743D16" w:rsidP="00743D16">
      <w:pPr>
        <w:spacing w:line="400" w:lineRule="exact"/>
        <w:jc w:val="center"/>
        <w:rPr>
          <w:b/>
        </w:rPr>
      </w:pPr>
      <w:r w:rsidRPr="00E65C8D">
        <w:rPr>
          <w:b/>
        </w:rPr>
        <w:t>表</w:t>
      </w:r>
      <w:r w:rsidRPr="00E65C8D">
        <w:rPr>
          <w:b/>
        </w:rPr>
        <w:t>A</w:t>
      </w:r>
      <w:r>
        <w:rPr>
          <w:rFonts w:hint="eastAsia"/>
          <w:b/>
        </w:rPr>
        <w:t>.1</w:t>
      </w:r>
      <w:r w:rsidR="0068760D">
        <w:rPr>
          <w:rFonts w:hint="eastAsia"/>
          <w:b/>
        </w:rPr>
        <w:t xml:space="preserve"> </w:t>
      </w:r>
      <w:r w:rsidRPr="00E65C8D">
        <w:rPr>
          <w:rFonts w:hint="eastAsia"/>
          <w:b/>
        </w:rPr>
        <w:t>性能指标计算表</w:t>
      </w:r>
    </w:p>
    <w:p w:rsidR="003F76A6" w:rsidRDefault="003F76A6">
      <w:pPr>
        <w:jc w:val="center"/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920"/>
        <w:gridCol w:w="1920"/>
        <w:gridCol w:w="2680"/>
      </w:tblGrid>
      <w:tr w:rsidR="003F76A6">
        <w:trPr>
          <w:trHeight w:val="320"/>
          <w:jc w:val="center"/>
        </w:trPr>
        <w:tc>
          <w:tcPr>
            <w:tcW w:w="2020" w:type="dxa"/>
            <w:vMerge w:val="restart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样品情况</w:t>
            </w:r>
            <w:r>
              <w:rPr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3840" w:type="dxa"/>
            <w:gridSpan w:val="2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检测结果</w:t>
            </w:r>
            <w:r>
              <w:rPr>
                <w:color w:val="000000"/>
                <w:kern w:val="0"/>
                <w:szCs w:val="21"/>
                <w:vertAlign w:val="superscript"/>
              </w:rPr>
              <w:t>b</w:t>
            </w:r>
          </w:p>
        </w:tc>
        <w:tc>
          <w:tcPr>
            <w:tcW w:w="2680" w:type="dxa"/>
            <w:vMerge w:val="restart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总数</w:t>
            </w:r>
          </w:p>
        </w:tc>
      </w:tr>
      <w:tr w:rsidR="003F76A6">
        <w:trPr>
          <w:trHeight w:val="320"/>
          <w:jc w:val="center"/>
        </w:trPr>
        <w:tc>
          <w:tcPr>
            <w:tcW w:w="2020" w:type="dxa"/>
            <w:vMerge/>
            <w:vAlign w:val="center"/>
          </w:tcPr>
          <w:p w:rsidR="003F76A6" w:rsidRDefault="003F76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阳性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阴性</w:t>
            </w:r>
          </w:p>
        </w:tc>
        <w:tc>
          <w:tcPr>
            <w:tcW w:w="2680" w:type="dxa"/>
            <w:vMerge/>
            <w:vAlign w:val="center"/>
          </w:tcPr>
          <w:p w:rsidR="003F76A6" w:rsidRDefault="003F76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F76A6">
        <w:trPr>
          <w:trHeight w:val="320"/>
          <w:jc w:val="center"/>
        </w:trPr>
        <w:tc>
          <w:tcPr>
            <w:tcW w:w="20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阳性</w:t>
            </w:r>
            <w:r>
              <w:rPr>
                <w:color w:val="000000"/>
                <w:kern w:val="0"/>
                <w:szCs w:val="21"/>
                <w:vertAlign w:val="superscript"/>
              </w:rPr>
              <w:t>c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11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268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1.</w:t>
            </w:r>
            <w:r>
              <w:rPr>
                <w:color w:val="000000"/>
                <w:kern w:val="0"/>
                <w:szCs w:val="21"/>
              </w:rPr>
              <w:t>=N</w:t>
            </w:r>
            <w:r>
              <w:rPr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 w:rsidR="003F76A6">
        <w:trPr>
          <w:trHeight w:val="465"/>
          <w:jc w:val="center"/>
        </w:trPr>
        <w:tc>
          <w:tcPr>
            <w:tcW w:w="20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阴性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68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2.</w:t>
            </w:r>
            <w:r>
              <w:rPr>
                <w:color w:val="000000"/>
                <w:kern w:val="0"/>
                <w:szCs w:val="21"/>
              </w:rPr>
              <w:t>=N</w:t>
            </w:r>
            <w:r>
              <w:rPr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22</w:t>
            </w:r>
          </w:p>
        </w:tc>
      </w:tr>
      <w:tr w:rsidR="003F76A6">
        <w:trPr>
          <w:trHeight w:val="320"/>
          <w:jc w:val="center"/>
        </w:trPr>
        <w:tc>
          <w:tcPr>
            <w:tcW w:w="20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.1</w:t>
            </w:r>
            <w:r>
              <w:rPr>
                <w:color w:val="000000"/>
                <w:kern w:val="0"/>
                <w:szCs w:val="21"/>
              </w:rPr>
              <w:t>=N</w:t>
            </w:r>
            <w:r>
              <w:rPr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19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.2</w:t>
            </w:r>
            <w:r>
              <w:rPr>
                <w:color w:val="000000"/>
                <w:kern w:val="0"/>
                <w:szCs w:val="21"/>
              </w:rPr>
              <w:t>=N</w:t>
            </w:r>
            <w:r>
              <w:rPr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68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N=N</w:t>
            </w:r>
            <w:r>
              <w:rPr>
                <w:color w:val="000000"/>
                <w:kern w:val="0"/>
                <w:szCs w:val="21"/>
                <w:vertAlign w:val="subscript"/>
              </w:rPr>
              <w:t>1.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2.</w:t>
            </w:r>
            <w:r>
              <w:rPr>
                <w:color w:val="000000"/>
                <w:kern w:val="0"/>
                <w:szCs w:val="21"/>
              </w:rPr>
              <w:t>或</w:t>
            </w:r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.1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.2</w:t>
            </w:r>
          </w:p>
        </w:tc>
      </w:tr>
      <w:tr w:rsidR="003F76A6">
        <w:trPr>
          <w:trHeight w:val="320"/>
          <w:jc w:val="center"/>
        </w:trPr>
        <w:tc>
          <w:tcPr>
            <w:tcW w:w="2020" w:type="dxa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显著性差异</w:t>
            </w:r>
            <w:r>
              <w:rPr>
                <w:color w:val="000000"/>
                <w:kern w:val="0"/>
                <w:szCs w:val="21"/>
              </w:rPr>
              <w:t>(х</w:t>
            </w:r>
            <w:r>
              <w:rPr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sym w:font="Symbol" w:char="0063"/>
            </w:r>
            <w:r>
              <w:rPr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=(|N</w:t>
            </w:r>
            <w:r>
              <w:rPr>
                <w:color w:val="000000"/>
                <w:kern w:val="0"/>
                <w:szCs w:val="21"/>
                <w:vertAlign w:val="subscript"/>
              </w:rPr>
              <w:t>12</w:t>
            </w:r>
            <w:r>
              <w:rPr>
                <w:color w:val="000000"/>
                <w:kern w:val="0"/>
                <w:szCs w:val="21"/>
              </w:rPr>
              <w:t>-N</w:t>
            </w:r>
            <w:r>
              <w:rPr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color w:val="000000"/>
                <w:kern w:val="0"/>
                <w:szCs w:val="21"/>
              </w:rPr>
              <w:t>|-1)</w:t>
            </w:r>
            <w:r>
              <w:rPr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color w:val="000000"/>
                <w:kern w:val="0"/>
                <w:szCs w:val="21"/>
              </w:rPr>
              <w:t>/(N</w:t>
            </w:r>
            <w:r>
              <w:rPr>
                <w:color w:val="000000"/>
                <w:kern w:val="0"/>
                <w:szCs w:val="21"/>
                <w:vertAlign w:val="subscript"/>
              </w:rPr>
              <w:t>12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color w:val="000000"/>
                <w:kern w:val="0"/>
                <w:szCs w:val="21"/>
              </w:rPr>
              <w:t>),</w:t>
            </w:r>
          </w:p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自由度（</w:t>
            </w:r>
            <w:proofErr w:type="spellStart"/>
            <w:r>
              <w:rPr>
                <w:color w:val="000000"/>
                <w:kern w:val="0"/>
                <w:szCs w:val="21"/>
              </w:rPr>
              <w:t>df</w:t>
            </w:r>
            <w:proofErr w:type="spellEnd"/>
            <w:r>
              <w:rPr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=1</w:t>
            </w:r>
          </w:p>
        </w:tc>
      </w:tr>
      <w:tr w:rsidR="00743D16">
        <w:trPr>
          <w:trHeight w:val="320"/>
          <w:jc w:val="center"/>
        </w:trPr>
        <w:tc>
          <w:tcPr>
            <w:tcW w:w="2020" w:type="dxa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灵敏度</w:t>
            </w:r>
            <w:r>
              <w:rPr>
                <w:color w:val="000000"/>
                <w:kern w:val="0"/>
                <w:szCs w:val="21"/>
              </w:rPr>
              <w:t>(p+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p+=N</w:t>
            </w:r>
            <w:r w:rsidRPr="00EC1288">
              <w:rPr>
                <w:color w:val="000000"/>
                <w:kern w:val="0"/>
                <w:szCs w:val="21"/>
              </w:rPr>
              <w:t>11</w:t>
            </w:r>
            <w:r>
              <w:rPr>
                <w:color w:val="000000"/>
                <w:kern w:val="0"/>
                <w:szCs w:val="21"/>
              </w:rPr>
              <w:t>/N</w:t>
            </w:r>
            <w:r w:rsidRPr="00EC1288">
              <w:rPr>
                <w:color w:val="000000"/>
                <w:kern w:val="0"/>
                <w:szCs w:val="21"/>
              </w:rPr>
              <w:t>1.</w:t>
            </w:r>
          </w:p>
        </w:tc>
      </w:tr>
      <w:tr w:rsidR="00743D16">
        <w:trPr>
          <w:trHeight w:val="320"/>
          <w:jc w:val="center"/>
        </w:trPr>
        <w:tc>
          <w:tcPr>
            <w:tcW w:w="2020" w:type="dxa"/>
            <w:vAlign w:val="center"/>
          </w:tcPr>
          <w:p w:rsidR="00743D16" w:rsidRDefault="00743D16" w:rsidP="00C105B7">
            <w:pPr>
              <w:widowControl/>
              <w:ind w:firstLineChars="100" w:firstLine="21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特异性</w:t>
            </w:r>
            <w:r>
              <w:rPr>
                <w:color w:val="000000"/>
                <w:kern w:val="0"/>
                <w:szCs w:val="21"/>
              </w:rPr>
              <w:t>(p-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</w:rPr>
              <w:t>p-=</w:t>
            </w:r>
            <w:proofErr w:type="gramEnd"/>
            <w:r>
              <w:rPr>
                <w:color w:val="000000"/>
                <w:kern w:val="0"/>
                <w:szCs w:val="21"/>
              </w:rPr>
              <w:t>N</w:t>
            </w:r>
            <w:r w:rsidRPr="00EC1288">
              <w:rPr>
                <w:color w:val="000000"/>
                <w:kern w:val="0"/>
                <w:szCs w:val="21"/>
              </w:rPr>
              <w:t>22</w:t>
            </w:r>
            <w:r>
              <w:rPr>
                <w:color w:val="000000"/>
                <w:kern w:val="0"/>
                <w:szCs w:val="21"/>
              </w:rPr>
              <w:t>/N</w:t>
            </w:r>
            <w:r w:rsidRPr="00EC1288">
              <w:rPr>
                <w:color w:val="000000"/>
                <w:kern w:val="0"/>
                <w:szCs w:val="21"/>
              </w:rPr>
              <w:t>2.</w:t>
            </w:r>
          </w:p>
        </w:tc>
      </w:tr>
      <w:tr w:rsidR="00743D16">
        <w:trPr>
          <w:trHeight w:val="320"/>
          <w:jc w:val="center"/>
        </w:trPr>
        <w:tc>
          <w:tcPr>
            <w:tcW w:w="2020" w:type="dxa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假阴性率</w:t>
            </w:r>
            <w:r>
              <w:rPr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color w:val="000000"/>
                <w:kern w:val="0"/>
                <w:szCs w:val="21"/>
              </w:rPr>
              <w:t>pf</w:t>
            </w:r>
            <w:proofErr w:type="spellEnd"/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pf</w:t>
            </w:r>
            <w:proofErr w:type="spellEnd"/>
            <w:r>
              <w:rPr>
                <w:color w:val="000000"/>
                <w:kern w:val="0"/>
                <w:szCs w:val="21"/>
              </w:rPr>
              <w:t>-=N</w:t>
            </w:r>
            <w:r w:rsidRPr="00EC1288">
              <w:rPr>
                <w:color w:val="000000"/>
                <w:kern w:val="0"/>
                <w:szCs w:val="21"/>
              </w:rPr>
              <w:t>12</w:t>
            </w:r>
            <w:r>
              <w:rPr>
                <w:color w:val="000000"/>
                <w:kern w:val="0"/>
                <w:szCs w:val="21"/>
              </w:rPr>
              <w:t>/N</w:t>
            </w:r>
            <w:r w:rsidRPr="00EC1288"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=1</w:t>
            </w: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灵敏度</w:t>
            </w:r>
          </w:p>
        </w:tc>
      </w:tr>
      <w:tr w:rsidR="00743D16">
        <w:trPr>
          <w:trHeight w:val="320"/>
          <w:jc w:val="center"/>
        </w:trPr>
        <w:tc>
          <w:tcPr>
            <w:tcW w:w="2020" w:type="dxa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假阳性率</w:t>
            </w:r>
            <w:r>
              <w:rPr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color w:val="000000"/>
                <w:kern w:val="0"/>
                <w:szCs w:val="21"/>
              </w:rPr>
              <w:t>pf</w:t>
            </w:r>
            <w:proofErr w:type="spellEnd"/>
            <w:r>
              <w:rPr>
                <w:color w:val="000000"/>
                <w:kern w:val="0"/>
                <w:szCs w:val="21"/>
              </w:rPr>
              <w:t>+</w:t>
            </w:r>
            <w:r>
              <w:rPr>
                <w:rFonts w:hint="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743D16" w:rsidRDefault="00743D16" w:rsidP="00C105B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pf</w:t>
            </w:r>
            <w:proofErr w:type="spellEnd"/>
            <w:r>
              <w:rPr>
                <w:color w:val="000000"/>
                <w:kern w:val="0"/>
                <w:szCs w:val="21"/>
              </w:rPr>
              <w:t>+=N</w:t>
            </w:r>
            <w:r w:rsidRPr="00EC1288">
              <w:rPr>
                <w:color w:val="000000"/>
                <w:kern w:val="0"/>
                <w:szCs w:val="21"/>
              </w:rPr>
              <w:t>21</w:t>
            </w:r>
            <w:r>
              <w:rPr>
                <w:color w:val="000000"/>
                <w:kern w:val="0"/>
                <w:szCs w:val="21"/>
              </w:rPr>
              <w:t>/N</w:t>
            </w:r>
            <w:r w:rsidRPr="00EC1288">
              <w:rPr>
                <w:color w:val="000000"/>
                <w:kern w:val="0"/>
                <w:szCs w:val="21"/>
              </w:rPr>
              <w:t>2.</w:t>
            </w:r>
            <w:r>
              <w:rPr>
                <w:color w:val="000000"/>
                <w:kern w:val="0"/>
                <w:szCs w:val="21"/>
              </w:rPr>
              <w:t>=1</w:t>
            </w:r>
            <w:r>
              <w:rPr>
                <w:rFonts w:hint="eastAsia"/>
                <w:color w:val="000000"/>
                <w:kern w:val="0"/>
                <w:szCs w:val="21"/>
              </w:rPr>
              <w:t>00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特异性</w:t>
            </w:r>
          </w:p>
        </w:tc>
      </w:tr>
      <w:tr w:rsidR="003F76A6">
        <w:trPr>
          <w:trHeight w:val="320"/>
          <w:jc w:val="center"/>
        </w:trPr>
        <w:tc>
          <w:tcPr>
            <w:tcW w:w="2020" w:type="dxa"/>
            <w:vAlign w:val="center"/>
          </w:tcPr>
          <w:p w:rsidR="003F76A6" w:rsidRDefault="003063FE" w:rsidP="00743D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相对准确度</w:t>
            </w:r>
            <w:r w:rsidR="00743D16" w:rsidRPr="0077000E">
              <w:rPr>
                <w:rFonts w:hint="eastAsia"/>
                <w:kern w:val="0"/>
                <w:szCs w:val="21"/>
              </w:rPr>
              <w:t>，</w:t>
            </w:r>
            <w:r w:rsidR="00743D16" w:rsidRPr="0077000E">
              <w:rPr>
                <w:rFonts w:hint="eastAsia"/>
                <w:kern w:val="0"/>
                <w:szCs w:val="21"/>
              </w:rPr>
              <w:t>%</w:t>
            </w:r>
            <w:r w:rsidR="00743D16" w:rsidRPr="0077000E">
              <w:rPr>
                <w:rFonts w:hint="eastAsia"/>
                <w:kern w:val="0"/>
                <w:szCs w:val="21"/>
                <w:vertAlign w:val="superscript"/>
              </w:rPr>
              <w:t>d</w:t>
            </w:r>
          </w:p>
        </w:tc>
        <w:tc>
          <w:tcPr>
            <w:tcW w:w="6520" w:type="dxa"/>
            <w:gridSpan w:val="3"/>
            <w:vAlign w:val="center"/>
          </w:tcPr>
          <w:p w:rsidR="003F76A6" w:rsidRDefault="003063F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(N</w:t>
            </w:r>
            <w:r>
              <w:rPr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color w:val="000000"/>
                <w:kern w:val="0"/>
                <w:szCs w:val="21"/>
              </w:rPr>
              <w:t>)</w:t>
            </w:r>
            <w:proofErr w:type="gramStart"/>
            <w:r>
              <w:rPr>
                <w:color w:val="000000"/>
                <w:kern w:val="0"/>
                <w:szCs w:val="21"/>
              </w:rPr>
              <w:t>/(</w:t>
            </w:r>
            <w:proofErr w:type="gramEnd"/>
            <w:r>
              <w:rPr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</w:rPr>
              <w:t>1.</w:t>
            </w:r>
            <w:r>
              <w:rPr>
                <w:color w:val="000000"/>
                <w:kern w:val="0"/>
                <w:szCs w:val="21"/>
              </w:rPr>
              <w:t>+N</w:t>
            </w:r>
            <w:r>
              <w:rPr>
                <w:color w:val="000000"/>
                <w:kern w:val="0"/>
                <w:szCs w:val="21"/>
                <w:vertAlign w:val="subscript"/>
              </w:rPr>
              <w:t>2.</w:t>
            </w:r>
            <w:r>
              <w:rPr>
                <w:color w:val="000000"/>
                <w:kern w:val="0"/>
                <w:szCs w:val="21"/>
              </w:rPr>
              <w:t>)</w:t>
            </w:r>
          </w:p>
        </w:tc>
      </w:tr>
      <w:tr w:rsidR="00743D16" w:rsidTr="001D4EFF">
        <w:trPr>
          <w:trHeight w:val="320"/>
          <w:jc w:val="center"/>
        </w:trPr>
        <w:tc>
          <w:tcPr>
            <w:tcW w:w="8540" w:type="dxa"/>
            <w:gridSpan w:val="4"/>
            <w:vAlign w:val="center"/>
          </w:tcPr>
          <w:p w:rsidR="00743D16" w:rsidRPr="003E11ED" w:rsidRDefault="00743D16" w:rsidP="00743D16">
            <w:pPr>
              <w:tabs>
                <w:tab w:val="left" w:pos="1867"/>
              </w:tabs>
              <w:rPr>
                <w:szCs w:val="21"/>
              </w:rPr>
            </w:pPr>
            <w:r w:rsidRPr="003E11ED"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：</w:t>
            </w:r>
          </w:p>
          <w:p w:rsidR="00743D16" w:rsidRDefault="00743D16" w:rsidP="00743D16">
            <w:pPr>
              <w:tabs>
                <w:tab w:val="left" w:pos="1867"/>
              </w:tabs>
              <w:rPr>
                <w:szCs w:val="21"/>
              </w:rPr>
            </w:pPr>
            <w:r>
              <w:rPr>
                <w:szCs w:val="21"/>
                <w:vertAlign w:val="superscript"/>
              </w:rPr>
              <w:t>a</w:t>
            </w:r>
            <w:r>
              <w:rPr>
                <w:szCs w:val="21"/>
              </w:rPr>
              <w:t>由参比方法检验得到的结果</w:t>
            </w:r>
            <w:r>
              <w:rPr>
                <w:rFonts w:hint="eastAsia"/>
                <w:szCs w:val="21"/>
              </w:rPr>
              <w:t>或者样品中实际的</w:t>
            </w:r>
            <w:proofErr w:type="gramStart"/>
            <w:r>
              <w:rPr>
                <w:rFonts w:hint="eastAsia"/>
                <w:szCs w:val="21"/>
              </w:rPr>
              <w:t>公议值</w:t>
            </w:r>
            <w:proofErr w:type="gramEnd"/>
            <w:r>
              <w:rPr>
                <w:rFonts w:hint="eastAsia"/>
                <w:szCs w:val="21"/>
              </w:rPr>
              <w:t>结果</w:t>
            </w:r>
            <w:r>
              <w:rPr>
                <w:szCs w:val="21"/>
              </w:rPr>
              <w:t>；</w:t>
            </w:r>
          </w:p>
          <w:p w:rsidR="00743D16" w:rsidRDefault="00743D16" w:rsidP="00743D16">
            <w:pPr>
              <w:tabs>
                <w:tab w:val="left" w:pos="1867"/>
              </w:tabs>
              <w:rPr>
                <w:szCs w:val="21"/>
              </w:rPr>
            </w:pPr>
            <w:r>
              <w:rPr>
                <w:szCs w:val="21"/>
                <w:vertAlign w:val="superscript"/>
              </w:rPr>
              <w:t>b</w:t>
            </w:r>
            <w:proofErr w:type="gramStart"/>
            <w:r>
              <w:rPr>
                <w:szCs w:val="21"/>
              </w:rPr>
              <w:t>由</w:t>
            </w:r>
            <w:r>
              <w:rPr>
                <w:rFonts w:hint="eastAsia"/>
                <w:szCs w:val="21"/>
              </w:rPr>
              <w:t>待确认</w:t>
            </w:r>
            <w:proofErr w:type="gramEnd"/>
            <w:r>
              <w:rPr>
                <w:szCs w:val="21"/>
              </w:rPr>
              <w:t>方法</w:t>
            </w:r>
            <w:r>
              <w:rPr>
                <w:rFonts w:hint="eastAsia"/>
                <w:szCs w:val="21"/>
              </w:rPr>
              <w:t>检验</w:t>
            </w:r>
            <w:r>
              <w:rPr>
                <w:szCs w:val="21"/>
              </w:rPr>
              <w:t>得到的结果。灵敏度的计算使用确认后的结果。</w:t>
            </w:r>
            <w:r>
              <w:rPr>
                <w:rFonts w:hint="eastAsia"/>
                <w:szCs w:val="21"/>
              </w:rPr>
              <w:t>用于确认方法时，结果</w:t>
            </w:r>
            <w:r>
              <w:rPr>
                <w:rFonts w:ascii="宋体" w:hAnsi="宋体" w:cs="宋体" w:hint="eastAsia"/>
              </w:rPr>
              <w:t>≥</w:t>
            </w:r>
            <w:r>
              <w:rPr>
                <w:rFonts w:hint="eastAsia"/>
                <w:kern w:val="0"/>
                <w:szCs w:val="20"/>
              </w:rPr>
              <w:t>1mg/kg</w:t>
            </w:r>
            <w:r>
              <w:rPr>
                <w:rFonts w:hint="eastAsia"/>
                <w:kern w:val="0"/>
                <w:szCs w:val="20"/>
              </w:rPr>
              <w:t>时，判定为阳性</w:t>
            </w:r>
            <w:r>
              <w:rPr>
                <w:rFonts w:hint="eastAsia"/>
                <w:szCs w:val="21"/>
              </w:rPr>
              <w:t>（仅用于计算性能指标）</w:t>
            </w:r>
            <w:r>
              <w:rPr>
                <w:rFonts w:hint="eastAsia"/>
                <w:kern w:val="0"/>
                <w:szCs w:val="20"/>
              </w:rPr>
              <w:t>；</w:t>
            </w:r>
          </w:p>
          <w:p w:rsidR="00743D16" w:rsidRDefault="00743D16" w:rsidP="00743D16">
            <w:pPr>
              <w:tabs>
                <w:tab w:val="left" w:pos="1867"/>
              </w:tabs>
              <w:rPr>
                <w:szCs w:val="21"/>
              </w:rPr>
            </w:pPr>
            <w:r>
              <w:rPr>
                <w:szCs w:val="21"/>
                <w:vertAlign w:val="superscript"/>
              </w:rPr>
              <w:t>c</w:t>
            </w:r>
            <w:r>
              <w:rPr>
                <w:szCs w:val="21"/>
              </w:rPr>
              <w:t>本方法规定：用于计算灵敏度和假阴性率的阳性样品，由参比方法检验得到</w:t>
            </w:r>
            <w:r>
              <w:rPr>
                <w:rFonts w:hint="eastAsia"/>
                <w:szCs w:val="21"/>
              </w:rPr>
              <w:t>的结果</w:t>
            </w:r>
            <w:r>
              <w:rPr>
                <w:szCs w:val="21"/>
              </w:rPr>
              <w:t>范围应在</w:t>
            </w:r>
            <w:r>
              <w:rPr>
                <w:szCs w:val="21"/>
              </w:rPr>
              <w:t>1</w:t>
            </w:r>
            <w:r w:rsidR="00E47C3D">
              <w:rPr>
                <w:szCs w:val="21"/>
              </w:rPr>
              <w:t>—</w:t>
            </w:r>
            <w:r>
              <w:rPr>
                <w:szCs w:val="21"/>
              </w:rPr>
              <w:t>10mg/kg</w:t>
            </w:r>
            <w:r>
              <w:rPr>
                <w:szCs w:val="21"/>
              </w:rPr>
              <w:t>之间</w:t>
            </w:r>
            <w:r>
              <w:rPr>
                <w:rFonts w:hint="eastAsia"/>
                <w:szCs w:val="21"/>
              </w:rPr>
              <w:t>。</w:t>
            </w:r>
          </w:p>
          <w:p w:rsidR="00743D16" w:rsidRPr="003E11ED" w:rsidRDefault="00743D16" w:rsidP="00743D16">
            <w:pPr>
              <w:spacing w:line="300" w:lineRule="exact"/>
              <w:rPr>
                <w:szCs w:val="21"/>
              </w:rPr>
            </w:pPr>
            <w:r w:rsidRPr="008914CD">
              <w:rPr>
                <w:szCs w:val="21"/>
              </w:rPr>
              <w:t>N</w:t>
            </w:r>
            <w:r w:rsidRPr="008914CD">
              <w:rPr>
                <w:szCs w:val="21"/>
              </w:rPr>
              <w:t>：任何特定单元的结果数，第一个下标指行，第二个下标指列。例如：</w:t>
            </w:r>
            <w:r w:rsidRPr="008914CD">
              <w:rPr>
                <w:szCs w:val="21"/>
              </w:rPr>
              <w:t>N11</w:t>
            </w:r>
            <w:r w:rsidRPr="008914CD">
              <w:rPr>
                <w:szCs w:val="21"/>
              </w:rPr>
              <w:t>表示第一行，第一列，</w:t>
            </w:r>
            <w:r w:rsidRPr="008914CD">
              <w:rPr>
                <w:szCs w:val="21"/>
              </w:rPr>
              <w:t>N1.</w:t>
            </w:r>
            <w:r w:rsidRPr="008914CD">
              <w:rPr>
                <w:szCs w:val="21"/>
              </w:rPr>
              <w:t>表示所有的第一行，</w:t>
            </w:r>
            <w:r w:rsidRPr="008914CD">
              <w:rPr>
                <w:szCs w:val="21"/>
              </w:rPr>
              <w:t>N.2</w:t>
            </w:r>
            <w:r w:rsidRPr="007A68F6">
              <w:rPr>
                <w:szCs w:val="21"/>
              </w:rPr>
              <w:t>表示所有的第二列；</w:t>
            </w:r>
            <w:r w:rsidRPr="008914CD">
              <w:rPr>
                <w:szCs w:val="21"/>
              </w:rPr>
              <w:t>N12</w:t>
            </w:r>
            <w:r w:rsidRPr="008914CD">
              <w:rPr>
                <w:szCs w:val="21"/>
              </w:rPr>
              <w:t>表示第一行，第二列。</w:t>
            </w:r>
          </w:p>
          <w:p w:rsidR="00743D16" w:rsidRDefault="00743D16" w:rsidP="00743D16">
            <w:pPr>
              <w:widowControl/>
              <w:rPr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hint="eastAsia"/>
                <w:szCs w:val="21"/>
                <w:vertAlign w:val="superscript"/>
              </w:rPr>
              <w:t>d</w:t>
            </w:r>
            <w:r w:rsidRPr="008914CD">
              <w:rPr>
                <w:szCs w:val="21"/>
              </w:rPr>
              <w:t>为方法的检测结果相对准确性的结果，与一致性分析和浓度检测趋势情况综合评价。</w:t>
            </w:r>
            <w:bookmarkEnd w:id="0"/>
          </w:p>
        </w:tc>
      </w:tr>
    </w:tbl>
    <w:p w:rsidR="003F76A6" w:rsidRDefault="003F76A6">
      <w:pPr>
        <w:pStyle w:val="aa"/>
        <w:jc w:val="center"/>
        <w:rPr>
          <w:rFonts w:ascii="Times New Roman"/>
        </w:rPr>
      </w:pPr>
    </w:p>
    <w:p w:rsidR="00024020" w:rsidRDefault="00024020">
      <w:pPr>
        <w:pStyle w:val="aa"/>
        <w:jc w:val="center"/>
        <w:rPr>
          <w:rFonts w:ascii="Times New Roman"/>
        </w:rPr>
      </w:pPr>
    </w:p>
    <w:p w:rsidR="00743D16" w:rsidRDefault="00743D16" w:rsidP="0077000E">
      <w:pPr>
        <w:pStyle w:val="aa"/>
        <w:spacing w:beforeLines="50" w:before="156" w:afterLines="50" w:after="156"/>
        <w:ind w:firstLineChars="0" w:firstLine="0"/>
        <w:rPr>
          <w:rFonts w:ascii="Times New Roman"/>
        </w:rPr>
      </w:pPr>
      <w:r>
        <w:rPr>
          <w:rFonts w:ascii="Times New Roman" w:hint="eastAsia"/>
        </w:rPr>
        <w:t>本方法负责起草单位：陕西省食品药品监督检验研究院</w:t>
      </w:r>
    </w:p>
    <w:p w:rsidR="00743D16" w:rsidRDefault="00743D16" w:rsidP="0077000E">
      <w:pPr>
        <w:pStyle w:val="aa"/>
        <w:spacing w:beforeLines="50" w:before="156" w:afterLines="50" w:after="156"/>
        <w:ind w:firstLineChars="0" w:firstLine="0"/>
        <w:rPr>
          <w:rFonts w:ascii="Times New Roman"/>
        </w:rPr>
      </w:pPr>
      <w:r>
        <w:rPr>
          <w:rFonts w:ascii="Times New Roman" w:hint="eastAsia"/>
        </w:rPr>
        <w:t>验证单位：</w:t>
      </w:r>
      <w:r w:rsidRPr="002212A4">
        <w:rPr>
          <w:rFonts w:ascii="Times New Roman" w:hAnsiTheme="minorEastAsia" w:cs="Times New Roman"/>
          <w:szCs w:val="21"/>
        </w:rPr>
        <w:t>四川省食品药品检验检测院、山西省食品药品检验所</w:t>
      </w:r>
    </w:p>
    <w:p w:rsidR="00743D16" w:rsidRDefault="00743D16" w:rsidP="0077000E">
      <w:pPr>
        <w:pStyle w:val="aa"/>
        <w:spacing w:beforeLines="50" w:before="156" w:afterLines="50" w:after="156"/>
        <w:ind w:firstLineChars="0" w:firstLine="0"/>
        <w:rPr>
          <w:rFonts w:ascii="Times New Roman"/>
        </w:rPr>
      </w:pPr>
      <w:r>
        <w:rPr>
          <w:rFonts w:ascii="Times New Roman" w:hint="eastAsia"/>
        </w:rPr>
        <w:t>主要起草人：</w:t>
      </w:r>
      <w:r w:rsidRPr="0013542C">
        <w:rPr>
          <w:rFonts w:ascii="Times New Roman" w:hAnsiTheme="minorEastAsia" w:cs="Times New Roman" w:hint="eastAsia"/>
          <w:szCs w:val="21"/>
        </w:rPr>
        <w:t>刘海静、李涛、林芳、王一欣、袁磊</w:t>
      </w:r>
    </w:p>
    <w:p w:rsidR="003F76A6" w:rsidRPr="00743D16" w:rsidRDefault="003F76A6">
      <w:pPr>
        <w:pStyle w:val="aa"/>
        <w:rPr>
          <w:rFonts w:ascii="Times New Roman"/>
        </w:rPr>
      </w:pPr>
    </w:p>
    <w:sectPr w:rsidR="003F76A6" w:rsidRPr="00743D16" w:rsidSect="002B6163">
      <w:footerReference w:type="even" r:id="rId10"/>
      <w:footerReference w:type="default" r:id="rId11"/>
      <w:pgSz w:w="11906" w:h="16838"/>
      <w:pgMar w:top="1440" w:right="1531" w:bottom="1440" w:left="1531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9E" w:rsidRDefault="00260C9E">
      <w:r>
        <w:separator/>
      </w:r>
    </w:p>
  </w:endnote>
  <w:endnote w:type="continuationSeparator" w:id="0">
    <w:p w:rsidR="00260C9E" w:rsidRDefault="0026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A6" w:rsidRDefault="003063FE">
    <w:pPr>
      <w:pStyle w:val="a5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3F76A6" w:rsidRDefault="003F76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A6" w:rsidRDefault="003F76A6" w:rsidP="00E47C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9E" w:rsidRDefault="00260C9E">
      <w:r>
        <w:separator/>
      </w:r>
    </w:p>
  </w:footnote>
  <w:footnote w:type="continuationSeparator" w:id="0">
    <w:p w:rsidR="00260C9E" w:rsidRDefault="0026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251E"/>
    <w:multiLevelType w:val="multilevel"/>
    <w:tmpl w:val="314EC962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710" w:hanging="284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A"/>
    <w:rsid w:val="00015F99"/>
    <w:rsid w:val="00024020"/>
    <w:rsid w:val="000274DF"/>
    <w:rsid w:val="000345FC"/>
    <w:rsid w:val="001D4E5F"/>
    <w:rsid w:val="00260C9E"/>
    <w:rsid w:val="002B6163"/>
    <w:rsid w:val="003063FE"/>
    <w:rsid w:val="003F76A6"/>
    <w:rsid w:val="00492D96"/>
    <w:rsid w:val="004D72DA"/>
    <w:rsid w:val="00582C03"/>
    <w:rsid w:val="00612D21"/>
    <w:rsid w:val="00620384"/>
    <w:rsid w:val="0068760D"/>
    <w:rsid w:val="006B0526"/>
    <w:rsid w:val="0072456B"/>
    <w:rsid w:val="00743D16"/>
    <w:rsid w:val="007619EE"/>
    <w:rsid w:val="0077000E"/>
    <w:rsid w:val="0084611D"/>
    <w:rsid w:val="00A74CBB"/>
    <w:rsid w:val="00B53CA7"/>
    <w:rsid w:val="00D02CD0"/>
    <w:rsid w:val="00D522D4"/>
    <w:rsid w:val="00D66E99"/>
    <w:rsid w:val="00E47C3D"/>
    <w:rsid w:val="011C097F"/>
    <w:rsid w:val="03B36688"/>
    <w:rsid w:val="074035AA"/>
    <w:rsid w:val="12A854FF"/>
    <w:rsid w:val="14E8497D"/>
    <w:rsid w:val="169410AC"/>
    <w:rsid w:val="22BC50F9"/>
    <w:rsid w:val="25BE0ACE"/>
    <w:rsid w:val="2FF87F73"/>
    <w:rsid w:val="369D7158"/>
    <w:rsid w:val="3F992232"/>
    <w:rsid w:val="434850B4"/>
    <w:rsid w:val="44342D06"/>
    <w:rsid w:val="4F215AA5"/>
    <w:rsid w:val="5C036D58"/>
    <w:rsid w:val="79B21518"/>
    <w:rsid w:val="7BF0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段 Char"/>
    <w:link w:val="aa"/>
    <w:qFormat/>
    <w:rPr>
      <w:rFonts w:ascii="宋体"/>
    </w:rPr>
  </w:style>
  <w:style w:type="paragraph" w:customStyle="1" w:styleId="aa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b">
    <w:name w:val="附录图标号"/>
    <w:basedOn w:val="a"/>
    <w:qFormat/>
    <w:pPr>
      <w:keepNext/>
      <w:pageBreakBefore/>
      <w:widowControl/>
      <w:spacing w:line="14" w:lineRule="exact"/>
      <w:ind w:left="833" w:firstLine="363"/>
      <w:jc w:val="center"/>
      <w:outlineLvl w:val="0"/>
    </w:pPr>
    <w:rPr>
      <w:color w:val="FFFFFF"/>
    </w:rPr>
  </w:style>
  <w:style w:type="paragraph" w:customStyle="1" w:styleId="ac">
    <w:name w:val="章标题"/>
    <w:next w:val="aa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/>
      <w:sz w:val="21"/>
    </w:rPr>
  </w:style>
  <w:style w:type="paragraph" w:customStyle="1" w:styleId="ad">
    <w:name w:val="一级条标题"/>
    <w:next w:val="aa"/>
    <w:qFormat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eastAsia="黑体"/>
      <w:sz w:val="21"/>
      <w:szCs w:val="21"/>
    </w:rPr>
  </w:style>
  <w:style w:type="paragraph" w:customStyle="1" w:styleId="ae">
    <w:name w:val="二级条标题"/>
    <w:basedOn w:val="ad"/>
    <w:next w:val="aa"/>
    <w:qFormat/>
    <w:pPr>
      <w:spacing w:before="50" w:after="50"/>
      <w:outlineLvl w:val="3"/>
    </w:pPr>
  </w:style>
  <w:style w:type="paragraph" w:customStyle="1" w:styleId="af">
    <w:name w:val="目次、标准名称标题"/>
    <w:basedOn w:val="a"/>
    <w:next w:val="a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0">
    <w:name w:val="附录标识"/>
    <w:basedOn w:val="a"/>
    <w:next w:val="aa"/>
    <w:qFormat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1">
    <w:name w:val="附录章标题"/>
    <w:next w:val="aa"/>
    <w:qFormat/>
    <w:pPr>
      <w:tabs>
        <w:tab w:val="left" w:pos="360"/>
        <w:tab w:val="left" w:pos="1440"/>
      </w:tabs>
      <w:wordWrap w:val="0"/>
      <w:overflowPunct w:val="0"/>
      <w:autoSpaceDE w:val="0"/>
      <w:spacing w:beforeLines="100" w:afterLines="100"/>
      <w:ind w:left="142" w:hanging="7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1">
    <w:name w:val="列出段落1"/>
    <w:basedOn w:val="a"/>
    <w:uiPriority w:val="63"/>
    <w:qFormat/>
    <w:pPr>
      <w:ind w:firstLineChars="200" w:firstLine="420"/>
    </w:pPr>
  </w:style>
  <w:style w:type="paragraph" w:customStyle="1" w:styleId="af2">
    <w:name w:val="四级条标题"/>
    <w:basedOn w:val="a"/>
    <w:next w:val="aa"/>
    <w:qFormat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3">
    <w:name w:val="五级条标题"/>
    <w:basedOn w:val="af2"/>
    <w:next w:val="aa"/>
    <w:qFormat/>
    <w:pPr>
      <w:outlineLvl w:val="6"/>
    </w:pPr>
  </w:style>
  <w:style w:type="paragraph" w:customStyle="1" w:styleId="af4">
    <w:name w:val="附录二级条标题"/>
    <w:basedOn w:val="a"/>
    <w:next w:val="aa"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5">
    <w:name w:val="附录三级条标题"/>
    <w:basedOn w:val="af4"/>
    <w:next w:val="aa"/>
    <w:qFormat/>
    <w:pPr>
      <w:outlineLvl w:val="4"/>
    </w:pPr>
  </w:style>
  <w:style w:type="paragraph" w:customStyle="1" w:styleId="af6">
    <w:name w:val="附录四级条标题"/>
    <w:basedOn w:val="af5"/>
    <w:next w:val="aa"/>
    <w:qFormat/>
    <w:pPr>
      <w:outlineLvl w:val="5"/>
    </w:pPr>
  </w:style>
  <w:style w:type="paragraph" w:customStyle="1" w:styleId="af7">
    <w:name w:val="附录五级条标题"/>
    <w:basedOn w:val="af6"/>
    <w:next w:val="aa"/>
    <w:qFormat/>
    <w:pPr>
      <w:outlineLvl w:val="6"/>
    </w:pPr>
  </w:style>
  <w:style w:type="paragraph" w:customStyle="1" w:styleId="af8">
    <w:name w:val="附录一级条标题"/>
    <w:basedOn w:val="af1"/>
    <w:next w:val="aa"/>
    <w:qFormat/>
    <w:pPr>
      <w:tabs>
        <w:tab w:val="clear" w:pos="1440"/>
      </w:tabs>
      <w:autoSpaceDN w:val="0"/>
      <w:spacing w:beforeLines="50" w:afterLines="50"/>
      <w:ind w:left="0" w:firstLine="0"/>
      <w:outlineLvl w:val="2"/>
    </w:pPr>
  </w:style>
  <w:style w:type="paragraph" w:styleId="af9">
    <w:name w:val="List Paragraph"/>
    <w:basedOn w:val="a"/>
    <w:uiPriority w:val="99"/>
    <w:unhideWhenUsed/>
    <w:rsid w:val="00743D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段 Char"/>
    <w:link w:val="aa"/>
    <w:qFormat/>
    <w:rPr>
      <w:rFonts w:ascii="宋体"/>
    </w:rPr>
  </w:style>
  <w:style w:type="paragraph" w:customStyle="1" w:styleId="aa">
    <w:name w:val="段"/>
    <w:link w:val="Char3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kern w:val="2"/>
      <w:sz w:val="21"/>
      <w:szCs w:val="22"/>
    </w:rPr>
  </w:style>
  <w:style w:type="paragraph" w:customStyle="1" w:styleId="ab">
    <w:name w:val="附录图标号"/>
    <w:basedOn w:val="a"/>
    <w:qFormat/>
    <w:pPr>
      <w:keepNext/>
      <w:pageBreakBefore/>
      <w:widowControl/>
      <w:spacing w:line="14" w:lineRule="exact"/>
      <w:ind w:left="833" w:firstLine="363"/>
      <w:jc w:val="center"/>
      <w:outlineLvl w:val="0"/>
    </w:pPr>
    <w:rPr>
      <w:color w:val="FFFFFF"/>
    </w:rPr>
  </w:style>
  <w:style w:type="paragraph" w:customStyle="1" w:styleId="ac">
    <w:name w:val="章标题"/>
    <w:next w:val="aa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/>
      <w:sz w:val="21"/>
    </w:rPr>
  </w:style>
  <w:style w:type="paragraph" w:customStyle="1" w:styleId="ad">
    <w:name w:val="一级条标题"/>
    <w:next w:val="aa"/>
    <w:qFormat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eastAsia="黑体"/>
      <w:sz w:val="21"/>
      <w:szCs w:val="21"/>
    </w:rPr>
  </w:style>
  <w:style w:type="paragraph" w:customStyle="1" w:styleId="ae">
    <w:name w:val="二级条标题"/>
    <w:basedOn w:val="ad"/>
    <w:next w:val="aa"/>
    <w:qFormat/>
    <w:pPr>
      <w:spacing w:before="50" w:after="50"/>
      <w:outlineLvl w:val="3"/>
    </w:pPr>
  </w:style>
  <w:style w:type="paragraph" w:customStyle="1" w:styleId="af">
    <w:name w:val="目次、标准名称标题"/>
    <w:basedOn w:val="a"/>
    <w:next w:val="a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0">
    <w:name w:val="附录标识"/>
    <w:basedOn w:val="a"/>
    <w:next w:val="aa"/>
    <w:qFormat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1">
    <w:name w:val="附录章标题"/>
    <w:next w:val="aa"/>
    <w:qFormat/>
    <w:pPr>
      <w:tabs>
        <w:tab w:val="left" w:pos="360"/>
        <w:tab w:val="left" w:pos="1440"/>
      </w:tabs>
      <w:wordWrap w:val="0"/>
      <w:overflowPunct w:val="0"/>
      <w:autoSpaceDE w:val="0"/>
      <w:spacing w:beforeLines="100" w:afterLines="100"/>
      <w:ind w:left="142" w:hanging="7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1">
    <w:name w:val="列出段落1"/>
    <w:basedOn w:val="a"/>
    <w:uiPriority w:val="63"/>
    <w:qFormat/>
    <w:pPr>
      <w:ind w:firstLineChars="200" w:firstLine="420"/>
    </w:pPr>
  </w:style>
  <w:style w:type="paragraph" w:customStyle="1" w:styleId="af2">
    <w:name w:val="四级条标题"/>
    <w:basedOn w:val="a"/>
    <w:next w:val="aa"/>
    <w:qFormat/>
    <w:pPr>
      <w:widowControl/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f3">
    <w:name w:val="五级条标题"/>
    <w:basedOn w:val="af2"/>
    <w:next w:val="aa"/>
    <w:qFormat/>
    <w:pPr>
      <w:outlineLvl w:val="6"/>
    </w:pPr>
  </w:style>
  <w:style w:type="paragraph" w:customStyle="1" w:styleId="af4">
    <w:name w:val="附录二级条标题"/>
    <w:basedOn w:val="a"/>
    <w:next w:val="aa"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5">
    <w:name w:val="附录三级条标题"/>
    <w:basedOn w:val="af4"/>
    <w:next w:val="aa"/>
    <w:qFormat/>
    <w:pPr>
      <w:outlineLvl w:val="4"/>
    </w:pPr>
  </w:style>
  <w:style w:type="paragraph" w:customStyle="1" w:styleId="af6">
    <w:name w:val="附录四级条标题"/>
    <w:basedOn w:val="af5"/>
    <w:next w:val="aa"/>
    <w:qFormat/>
    <w:pPr>
      <w:outlineLvl w:val="5"/>
    </w:pPr>
  </w:style>
  <w:style w:type="paragraph" w:customStyle="1" w:styleId="af7">
    <w:name w:val="附录五级条标题"/>
    <w:basedOn w:val="af6"/>
    <w:next w:val="aa"/>
    <w:qFormat/>
    <w:pPr>
      <w:outlineLvl w:val="6"/>
    </w:pPr>
  </w:style>
  <w:style w:type="paragraph" w:customStyle="1" w:styleId="af8">
    <w:name w:val="附录一级条标题"/>
    <w:basedOn w:val="af1"/>
    <w:next w:val="aa"/>
    <w:qFormat/>
    <w:pPr>
      <w:tabs>
        <w:tab w:val="clear" w:pos="1440"/>
      </w:tabs>
      <w:autoSpaceDN w:val="0"/>
      <w:spacing w:beforeLines="50" w:afterLines="50"/>
      <w:ind w:left="0" w:firstLine="0"/>
      <w:outlineLvl w:val="2"/>
    </w:pPr>
  </w:style>
  <w:style w:type="paragraph" w:styleId="af9">
    <w:name w:val="List Paragraph"/>
    <w:basedOn w:val="a"/>
    <w:uiPriority w:val="99"/>
    <w:unhideWhenUsed/>
    <w:rsid w:val="00743D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406</Words>
  <Characters>2316</Characters>
  <Application>Microsoft Office Word</Application>
  <DocSecurity>0</DocSecurity>
  <Lines>19</Lines>
  <Paragraphs>5</Paragraphs>
  <ScaleCrop>false</ScaleCrop>
  <Company>CFDA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张敏</cp:lastModifiedBy>
  <cp:revision>10</cp:revision>
  <cp:lastPrinted>2017-05-23T09:17:00Z</cp:lastPrinted>
  <dcterms:created xsi:type="dcterms:W3CDTF">2017-03-29T07:23:00Z</dcterms:created>
  <dcterms:modified xsi:type="dcterms:W3CDTF">2017-05-23T09:05:00Z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